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771285" w:rsidRPr="00A66C8E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7C44E4">
        <w:rPr>
          <w:sz w:val="22"/>
          <w:szCs w:val="22"/>
        </w:rPr>
        <w:t>о</w:t>
      </w:r>
      <w:r w:rsidR="007C44E4" w:rsidRPr="007C44E4">
        <w:rPr>
          <w:sz w:val="22"/>
          <w:szCs w:val="22"/>
        </w:rPr>
        <w:t>казание в 2021 году услуг по перевозке граждан-получателей государственной социальной помощи к месту лечения и обратно авиационным транспортом по направлениям, выданным Министерством здравоохранения Республики Тыва, по маршрутам Кызыл-</w:t>
      </w:r>
      <w:r w:rsidR="009453E7">
        <w:rPr>
          <w:sz w:val="22"/>
          <w:szCs w:val="22"/>
        </w:rPr>
        <w:t>Иркутск</w:t>
      </w:r>
      <w:r w:rsidR="007C44E4" w:rsidRPr="007C44E4">
        <w:rPr>
          <w:sz w:val="22"/>
          <w:szCs w:val="22"/>
        </w:rPr>
        <w:t>-Кызыл</w:t>
      </w:r>
    </w:p>
    <w:tbl>
      <w:tblPr>
        <w:tblpPr w:leftFromText="180" w:rightFromText="180" w:vertAnchor="text" w:horzAnchor="page" w:tblpX="1826" w:tblpY="1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409"/>
        <w:gridCol w:w="1843"/>
      </w:tblGrid>
      <w:tr w:rsidR="008B3A2F" w:rsidRPr="00A66C8E" w:rsidTr="008B3A2F">
        <w:trPr>
          <w:trHeight w:val="424"/>
        </w:trPr>
        <w:tc>
          <w:tcPr>
            <w:tcW w:w="4957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8B3A2F" w:rsidRPr="00A66C8E" w:rsidRDefault="008B3A2F" w:rsidP="008B3A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843" w:type="dxa"/>
          </w:tcPr>
          <w:p w:rsidR="008B3A2F" w:rsidRPr="00A66C8E" w:rsidRDefault="008B3A2F" w:rsidP="008B3A2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8B3A2F" w:rsidRPr="00A66C8E" w:rsidTr="008B3A2F">
        <w:trPr>
          <w:trHeight w:val="381"/>
        </w:trPr>
        <w:tc>
          <w:tcPr>
            <w:tcW w:w="4957" w:type="dxa"/>
          </w:tcPr>
          <w:p w:rsidR="008B3A2F" w:rsidRPr="00A66C8E" w:rsidRDefault="008B3A2F" w:rsidP="009453E7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следования: г. Кызыл-г. </w:t>
            </w:r>
            <w:r w:rsidR="009453E7">
              <w:rPr>
                <w:sz w:val="22"/>
                <w:szCs w:val="22"/>
              </w:rPr>
              <w:t>Иркутск</w:t>
            </w:r>
            <w:r w:rsidRPr="00A66C8E">
              <w:rPr>
                <w:sz w:val="22"/>
                <w:szCs w:val="22"/>
              </w:rPr>
              <w:t>-г. Кызыл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3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B3A2F" w:rsidRPr="00A66C8E" w:rsidTr="008B3A2F">
        <w:trPr>
          <w:trHeight w:val="424"/>
        </w:trPr>
        <w:tc>
          <w:tcPr>
            <w:tcW w:w="4957" w:type="dxa"/>
          </w:tcPr>
          <w:p w:rsidR="008B3A2F" w:rsidRPr="00A66C8E" w:rsidRDefault="008B3A2F" w:rsidP="009453E7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Маршрут следования</w:t>
            </w:r>
            <w:r>
              <w:rPr>
                <w:sz w:val="22"/>
                <w:szCs w:val="22"/>
              </w:rPr>
              <w:t xml:space="preserve">: г. Кызыл-г. </w:t>
            </w:r>
            <w:r w:rsidR="009453E7">
              <w:rPr>
                <w:sz w:val="22"/>
                <w:szCs w:val="22"/>
              </w:rPr>
              <w:t>Иркутск</w:t>
            </w:r>
            <w:r>
              <w:rPr>
                <w:sz w:val="22"/>
                <w:szCs w:val="22"/>
              </w:rPr>
              <w:t>-г. Кызыл (</w:t>
            </w:r>
            <w:r w:rsidRPr="00A66C8E">
              <w:rPr>
                <w:sz w:val="22"/>
                <w:szCs w:val="22"/>
              </w:rPr>
              <w:t>дети до 12 лет)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3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8B3A2F" w:rsidRPr="00A66C8E" w:rsidTr="008B3A2F">
        <w:trPr>
          <w:trHeight w:val="424"/>
        </w:trPr>
        <w:tc>
          <w:tcPr>
            <w:tcW w:w="4957" w:type="dxa"/>
          </w:tcPr>
          <w:p w:rsidR="008B3A2F" w:rsidRPr="00A66C8E" w:rsidRDefault="008B3A2F" w:rsidP="009453E7">
            <w:pPr>
              <w:rPr>
                <w:sz w:val="22"/>
                <w:szCs w:val="22"/>
              </w:rPr>
            </w:pPr>
            <w:r w:rsidRPr="00705A51">
              <w:rPr>
                <w:sz w:val="22"/>
                <w:szCs w:val="22"/>
              </w:rPr>
              <w:t xml:space="preserve">Маршрут следования: г. Кызыл-г. </w:t>
            </w:r>
            <w:r w:rsidR="009453E7">
              <w:rPr>
                <w:sz w:val="22"/>
                <w:szCs w:val="22"/>
              </w:rPr>
              <w:t>Иркутск</w:t>
            </w:r>
            <w:r w:rsidRPr="00705A51">
              <w:rPr>
                <w:sz w:val="22"/>
                <w:szCs w:val="22"/>
              </w:rPr>
              <w:t>-г. Кызыл (дети до 2 лет)</w:t>
            </w:r>
          </w:p>
        </w:tc>
        <w:tc>
          <w:tcPr>
            <w:tcW w:w="2409" w:type="dxa"/>
          </w:tcPr>
          <w:p w:rsidR="008B3A2F" w:rsidRPr="00A66C8E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 w:rsidRPr="00705A51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1843" w:type="dxa"/>
          </w:tcPr>
          <w:p w:rsidR="008B3A2F" w:rsidRDefault="008B3A2F" w:rsidP="008B3A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705A51" w:rsidRDefault="00705A51" w:rsidP="00771285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771285" w:rsidRPr="00E737BE" w:rsidRDefault="00771285" w:rsidP="00771285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 xml:space="preserve">В соответствии с Федеральным законом от 4 мая 2011 г. N 99-ФЗ "О лицензировании отдельных видов деятельности" Исполнитель должен иметь лицензию на оказание услуг по перевозке пассажиров воздушным транспортом. Услуги по авиаперевозке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авиаперевозке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771285" w:rsidRPr="00E737BE" w:rsidRDefault="00771285" w:rsidP="00771285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771285" w:rsidRPr="00E737BE" w:rsidRDefault="00771285" w:rsidP="00771285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771285" w:rsidRPr="00C075AA" w:rsidRDefault="00771285" w:rsidP="00771285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 xml:space="preserve">по маршрутам: г. Кызыл – г. </w:t>
      </w:r>
      <w:r w:rsidR="009453E7">
        <w:rPr>
          <w:sz w:val="22"/>
          <w:szCs w:val="22"/>
        </w:rPr>
        <w:t>Иркутск</w:t>
      </w:r>
      <w:r w:rsidRPr="00C075AA">
        <w:rPr>
          <w:sz w:val="22"/>
          <w:szCs w:val="22"/>
        </w:rPr>
        <w:t xml:space="preserve">, г. </w:t>
      </w:r>
      <w:r w:rsidR="009453E7">
        <w:rPr>
          <w:sz w:val="22"/>
          <w:szCs w:val="22"/>
        </w:rPr>
        <w:t>Иркутск</w:t>
      </w:r>
      <w:bookmarkStart w:id="0" w:name="_GoBack"/>
      <w:bookmarkEnd w:id="0"/>
      <w:r w:rsidRPr="00C075AA">
        <w:rPr>
          <w:sz w:val="22"/>
          <w:szCs w:val="22"/>
        </w:rPr>
        <w:t xml:space="preserve"> – г. Кызыл.</w:t>
      </w:r>
    </w:p>
    <w:p w:rsidR="00771285" w:rsidRPr="00C075AA" w:rsidRDefault="00771285" w:rsidP="00771285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8B3A2F">
        <w:rPr>
          <w:rFonts w:eastAsia="Calibri"/>
          <w:color w:val="000000"/>
          <w:sz w:val="22"/>
          <w:szCs w:val="22"/>
        </w:rPr>
        <w:t>1</w:t>
      </w:r>
      <w:r w:rsidRPr="00C075AA">
        <w:rPr>
          <w:rFonts w:eastAsia="Calibri"/>
          <w:color w:val="000000"/>
          <w:sz w:val="22"/>
          <w:szCs w:val="22"/>
        </w:rPr>
        <w:t xml:space="preserve"> г., по направлениям, выданным Министерством здравоохранения Республики Тыва Заказчиком</w:t>
      </w:r>
      <w:r w:rsidRPr="00C075AA">
        <w:rPr>
          <w:rFonts w:eastAsia="Andale Sans UI" w:cs="Tahoma"/>
          <w:kern w:val="3"/>
          <w:sz w:val="22"/>
          <w:szCs w:val="22"/>
          <w:lang w:eastAsia="ja-JP" w:bidi="fa-IR"/>
        </w:rPr>
        <w:t>.</w:t>
      </w:r>
    </w:p>
    <w:p w:rsidR="00771285" w:rsidRDefault="00771285" w:rsidP="00771285">
      <w:pPr>
        <w:pStyle w:val="a4"/>
        <w:spacing w:after="240"/>
        <w:rPr>
          <w:sz w:val="22"/>
          <w:szCs w:val="22"/>
        </w:rPr>
      </w:pPr>
    </w:p>
    <w:p w:rsidR="00771285" w:rsidRDefault="00771285" w:rsidP="00771285">
      <w:pPr>
        <w:pStyle w:val="a4"/>
        <w:spacing w:after="240"/>
        <w:rPr>
          <w:sz w:val="22"/>
          <w:szCs w:val="22"/>
        </w:rPr>
      </w:pPr>
    </w:p>
    <w:p w:rsidR="00BA557A" w:rsidRDefault="00BA557A"/>
    <w:sectPr w:rsidR="00BA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705A51"/>
    <w:rsid w:val="00771285"/>
    <w:rsid w:val="007C44E4"/>
    <w:rsid w:val="008B3A2F"/>
    <w:rsid w:val="009453E7"/>
    <w:rsid w:val="00B54C5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6</cp:revision>
  <dcterms:created xsi:type="dcterms:W3CDTF">2020-11-10T11:54:00Z</dcterms:created>
  <dcterms:modified xsi:type="dcterms:W3CDTF">2021-01-13T06:17:00Z</dcterms:modified>
</cp:coreProperties>
</file>