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D74A6" w:rsidRPr="003D74A6">
        <w:rPr>
          <w:rFonts w:eastAsia="Times New Roman"/>
          <w:b/>
          <w:kern w:val="0"/>
          <w:sz w:val="22"/>
          <w:szCs w:val="22"/>
          <w:lang w:eastAsia="ru-RU"/>
        </w:rPr>
        <w:t>по Классу VII МКБ-10 "Болезни глаза и его придаточного аппарата"</w:t>
      </w:r>
      <w:r w:rsidR="003D74A6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D74A6" w:rsidRPr="003D74A6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3D74A6">
        <w:rPr>
          <w:rFonts w:eastAsia="Times New Roman"/>
          <w:b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 xml:space="preserve">кардиологии, </w:t>
      </w:r>
      <w:r w:rsidR="003D74A6">
        <w:rPr>
          <w:color w:val="000000" w:themeColor="text1"/>
          <w:sz w:val="22"/>
          <w:szCs w:val="22"/>
        </w:rPr>
        <w:t>офтальмологии, гастроэнтерологии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3D74A6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D74A6">
        <w:rPr>
          <w:bCs/>
          <w:color w:val="000000"/>
          <w:sz w:val="22"/>
          <w:szCs w:val="22"/>
        </w:rPr>
        <w:t>от 22.11.2004 № 215 «Об утверждении стандарта санаторно-курортной помощи больным с болезнями глаза и его придаточного аппарата»</w:t>
      </w:r>
      <w:r>
        <w:rPr>
          <w:bCs/>
          <w:color w:val="000000"/>
          <w:sz w:val="22"/>
          <w:szCs w:val="22"/>
        </w:rPr>
        <w:t>,</w:t>
      </w:r>
    </w:p>
    <w:p w:rsidR="003D74A6" w:rsidRDefault="003D74A6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D74A6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.</w:t>
      </w:r>
    </w:p>
    <w:p w:rsidR="003D74A6" w:rsidRPr="00A075FB" w:rsidRDefault="003D74A6" w:rsidP="003D74A6">
      <w:pPr>
        <w:keepNext/>
        <w:shd w:val="clear" w:color="auto" w:fill="FFFFFF"/>
        <w:tabs>
          <w:tab w:val="left" w:pos="709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837D5A" w:rsidRPr="00A075FB" w:rsidRDefault="00837D5A" w:rsidP="003D74A6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Диетическое и лечебное питание должно осуществляться в соответствии с медицинскими </w:t>
      </w:r>
      <w:r w:rsidRPr="00A075FB">
        <w:rPr>
          <w:bCs/>
          <w:kern w:val="2"/>
          <w:sz w:val="22"/>
          <w:szCs w:val="22"/>
        </w:rPr>
        <w:lastRenderedPageBreak/>
        <w:t>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3D74A6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3D74A6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3D74A6">
        <w:rPr>
          <w:color w:val="000000" w:themeColor="text1"/>
          <w:sz w:val="22"/>
          <w:szCs w:val="22"/>
        </w:rPr>
        <w:t xml:space="preserve">1 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D74A6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2020-12-01T13:59:00Z</dcterms:modified>
</cp:coreProperties>
</file>