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5" w:rsidRDefault="00654375" w:rsidP="00116929">
      <w:pPr>
        <w:keepNext/>
        <w:keepLines/>
        <w:jc w:val="center"/>
        <w:rPr>
          <w:rStyle w:val="FontStyle63"/>
        </w:rPr>
      </w:pPr>
      <w:r>
        <w:rPr>
          <w:rStyle w:val="FontStyle63"/>
        </w:rPr>
        <w:t>ТЕХНИЧЕСКОЕ ЗАДАНИЕ</w:t>
      </w:r>
    </w:p>
    <w:p w:rsidR="00B262ED" w:rsidRPr="003B72C9" w:rsidRDefault="00B262ED" w:rsidP="00B262ED">
      <w:pPr>
        <w:rPr>
          <w:sz w:val="20"/>
          <w:szCs w:val="20"/>
        </w:rPr>
      </w:pPr>
    </w:p>
    <w:p w:rsidR="00B262ED" w:rsidRPr="003B72C9" w:rsidRDefault="00B262ED" w:rsidP="00B262ED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3B72C9">
        <w:rPr>
          <w:rFonts w:ascii="Times New Roman" w:hAnsi="Times New Roman"/>
          <w:b/>
          <w:color w:val="auto"/>
          <w:sz w:val="22"/>
          <w:szCs w:val="22"/>
        </w:rPr>
        <w:t>1.</w:t>
      </w:r>
      <w:r w:rsidRPr="003B72C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B72C9">
        <w:rPr>
          <w:rFonts w:ascii="Times New Roman" w:hAnsi="Times New Roman"/>
          <w:b/>
          <w:bCs/>
          <w:color w:val="auto"/>
          <w:sz w:val="22"/>
          <w:szCs w:val="22"/>
        </w:rPr>
        <w:t>Условия поставки: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1.1    Автомобили должны быть легковыми.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1.2    Автомобили должны быть новыми, ранее не бывшими в эксплуатации. 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1.3    Автомобили должны быть </w:t>
      </w:r>
      <w:r w:rsidR="00FD2FFA">
        <w:rPr>
          <w:sz w:val="22"/>
          <w:szCs w:val="22"/>
        </w:rPr>
        <w:t xml:space="preserve">не ранее </w:t>
      </w:r>
      <w:r w:rsidRPr="003B72C9">
        <w:rPr>
          <w:sz w:val="22"/>
          <w:szCs w:val="22"/>
        </w:rPr>
        <w:t>2020 года изготовления.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1.4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1.5 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B262ED" w:rsidRPr="003B72C9" w:rsidRDefault="00B262ED" w:rsidP="00B262ED">
      <w:pPr>
        <w:pStyle w:val="a4"/>
        <w:tabs>
          <w:tab w:val="left" w:pos="0"/>
        </w:tabs>
        <w:ind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1.6 Автомобили должны соответствовать требованиям, предусмотренным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обеспечения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для целей осуществления закупок для нужд обороны страны и безопасности государства».</w:t>
      </w:r>
    </w:p>
    <w:p w:rsidR="00B262ED" w:rsidRPr="003B72C9" w:rsidRDefault="00B262ED" w:rsidP="00B262ED">
      <w:pPr>
        <w:pStyle w:val="a6"/>
        <w:widowControl w:val="0"/>
        <w:suppressAutoHyphens/>
        <w:ind w:left="0" w:hanging="284"/>
        <w:rPr>
          <w:sz w:val="22"/>
          <w:szCs w:val="22"/>
        </w:rPr>
      </w:pPr>
      <w:r w:rsidRPr="003B72C9">
        <w:rPr>
          <w:sz w:val="22"/>
          <w:szCs w:val="22"/>
        </w:rPr>
        <w:t xml:space="preserve">           1.7   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B262ED" w:rsidRPr="003B72C9" w:rsidRDefault="00B262ED" w:rsidP="00B262ED">
      <w:pPr>
        <w:jc w:val="both"/>
        <w:rPr>
          <w:rFonts w:eastAsia="Times New Roman CYR"/>
          <w:kern w:val="1"/>
          <w:sz w:val="22"/>
          <w:szCs w:val="22"/>
        </w:rPr>
      </w:pPr>
      <w:r w:rsidRPr="003B72C9">
        <w:rPr>
          <w:sz w:val="22"/>
          <w:szCs w:val="22"/>
        </w:rPr>
        <w:t xml:space="preserve">      1.8 </w:t>
      </w:r>
      <w:r w:rsidRPr="003B72C9">
        <w:rPr>
          <w:bCs/>
          <w:sz w:val="22"/>
          <w:szCs w:val="22"/>
        </w:rPr>
        <w:t>Автомобили, предназначенные для лиц с ограниченными физическими возможностями, с   различными нарушен</w:t>
      </w:r>
      <w:r w:rsidR="00116929">
        <w:rPr>
          <w:bCs/>
          <w:sz w:val="22"/>
          <w:szCs w:val="22"/>
        </w:rPr>
        <w:t xml:space="preserve">иями функций нижних конечностей </w:t>
      </w:r>
      <w:r w:rsidRPr="003B72C9">
        <w:rPr>
          <w:bCs/>
          <w:sz w:val="22"/>
          <w:szCs w:val="22"/>
        </w:rPr>
        <w:t>должны быть оборудованы специальными средствами управления (адаптированными органами управления)</w:t>
      </w:r>
      <w:r w:rsidRPr="003B72C9">
        <w:rPr>
          <w:rFonts w:eastAsia="Times New Roman CYR"/>
          <w:kern w:val="1"/>
          <w:sz w:val="22"/>
          <w:szCs w:val="22"/>
        </w:rPr>
        <w:t>.</w:t>
      </w:r>
    </w:p>
    <w:p w:rsidR="00B262ED" w:rsidRPr="003B72C9" w:rsidRDefault="00B262ED" w:rsidP="00B262ED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3B72C9">
        <w:rPr>
          <w:rFonts w:ascii="Times New Roman" w:hAnsi="Times New Roman"/>
          <w:color w:val="auto"/>
          <w:sz w:val="22"/>
          <w:szCs w:val="22"/>
        </w:rPr>
        <w:t xml:space="preserve">      1.9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B262ED" w:rsidRPr="003B72C9" w:rsidRDefault="00B262ED" w:rsidP="00B262ED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3B72C9">
        <w:rPr>
          <w:rFonts w:ascii="Times New Roman" w:hAnsi="Times New Roman"/>
          <w:color w:val="auto"/>
          <w:sz w:val="22"/>
          <w:szCs w:val="22"/>
        </w:rPr>
        <w:t xml:space="preserve">      1.10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B262ED" w:rsidRPr="003B72C9" w:rsidRDefault="00B262ED" w:rsidP="00B262ED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:rsidR="00B262ED" w:rsidRPr="003B72C9" w:rsidRDefault="00B262ED" w:rsidP="00B262ED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 xml:space="preserve"> 2. Требования к документам, подтверждающим соответствие Товара установленным требованиям.</w:t>
      </w:r>
    </w:p>
    <w:p w:rsidR="00B262ED" w:rsidRPr="003B72C9" w:rsidRDefault="00B262ED" w:rsidP="00B262ED">
      <w:pPr>
        <w:spacing w:line="100" w:lineRule="atLeast"/>
        <w:ind w:firstLine="426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2.1 Одобрение типа транспортного средства, выданное в соответствии с требованиями ТР ТС 018/2011.</w:t>
      </w:r>
    </w:p>
    <w:p w:rsidR="00B262ED" w:rsidRPr="003B72C9" w:rsidRDefault="00B262ED" w:rsidP="00116929">
      <w:pPr>
        <w:spacing w:line="100" w:lineRule="atLeast"/>
        <w:ind w:firstLine="426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2.2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</w:t>
      </w:r>
      <w:r w:rsidR="00C2137C">
        <w:rPr>
          <w:sz w:val="22"/>
          <w:szCs w:val="22"/>
        </w:rPr>
        <w:t>ми поражений нижних конечностей.</w:t>
      </w:r>
    </w:p>
    <w:p w:rsidR="00B262ED" w:rsidRPr="003B72C9" w:rsidRDefault="00B262ED" w:rsidP="00B262ED">
      <w:pPr>
        <w:rPr>
          <w:b/>
          <w:bCs/>
          <w:sz w:val="22"/>
          <w:szCs w:val="22"/>
        </w:rPr>
      </w:pPr>
    </w:p>
    <w:p w:rsidR="00B262ED" w:rsidRPr="003B72C9" w:rsidRDefault="00B262ED" w:rsidP="00B262ED">
      <w:pPr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>3. Документы, передаваемые вместе с Товаром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гарантийный талон на автомобиль;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выписка из электронного паспорта транспортного средства;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сервисная книжка;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руководство по эксплуатации автомобиля;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копия одобрения типа транспортного средства;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копия сертификата соответствия на устройство ручного управления автомобиля категории М1 (для лиц с ограниченными физическими возможностями с различными уровням</w:t>
      </w:r>
      <w:r w:rsidR="00116929">
        <w:rPr>
          <w:sz w:val="22"/>
          <w:szCs w:val="22"/>
        </w:rPr>
        <w:t>и поражений нижних конечностей</w:t>
      </w:r>
      <w:r w:rsidRPr="003B72C9">
        <w:rPr>
          <w:sz w:val="22"/>
          <w:szCs w:val="22"/>
        </w:rPr>
        <w:t>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</w:p>
    <w:p w:rsidR="00B262ED" w:rsidRPr="003B72C9" w:rsidRDefault="00B262ED" w:rsidP="00B262ED">
      <w:pPr>
        <w:widowControl w:val="0"/>
        <w:numPr>
          <w:ilvl w:val="0"/>
          <w:numId w:val="1"/>
        </w:numPr>
        <w:spacing w:line="100" w:lineRule="atLeast"/>
        <w:jc w:val="both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>Требования к техническим характеристикам товара</w:t>
      </w:r>
    </w:p>
    <w:tbl>
      <w:tblPr>
        <w:tblW w:w="4394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134"/>
      </w:tblGrid>
      <w:tr w:rsidR="003C654B" w:rsidRPr="003B72C9" w:rsidTr="003C654B">
        <w:tc>
          <w:tcPr>
            <w:tcW w:w="3260" w:type="dxa"/>
            <w:shd w:val="clear" w:color="auto" w:fill="auto"/>
          </w:tcPr>
          <w:p w:rsidR="003C654B" w:rsidRPr="003B72C9" w:rsidRDefault="003C654B" w:rsidP="00D70B6A">
            <w:pPr>
              <w:widowControl w:val="0"/>
              <w:spacing w:line="100" w:lineRule="atLeast"/>
              <w:jc w:val="both"/>
              <w:rPr>
                <w:b/>
                <w:bCs/>
              </w:rPr>
            </w:pPr>
            <w:r w:rsidRPr="003B72C9">
              <w:rPr>
                <w:b/>
                <w:bCs/>
              </w:rPr>
              <w:t>Значение</w:t>
            </w:r>
          </w:p>
        </w:tc>
        <w:tc>
          <w:tcPr>
            <w:tcW w:w="1134" w:type="dxa"/>
            <w:shd w:val="clear" w:color="auto" w:fill="auto"/>
          </w:tcPr>
          <w:p w:rsidR="003C654B" w:rsidRPr="003B72C9" w:rsidRDefault="003C654B" w:rsidP="00D70B6A">
            <w:pPr>
              <w:widowControl w:val="0"/>
              <w:spacing w:line="100" w:lineRule="atLeast"/>
              <w:jc w:val="both"/>
              <w:rPr>
                <w:b/>
                <w:bCs/>
              </w:rPr>
            </w:pPr>
            <w:r w:rsidRPr="003B72C9">
              <w:rPr>
                <w:b/>
                <w:bCs/>
              </w:rPr>
              <w:t>Количество, шт.</w:t>
            </w:r>
          </w:p>
        </w:tc>
      </w:tr>
      <w:tr w:rsidR="003C654B" w:rsidRPr="003B72C9" w:rsidTr="003C654B">
        <w:tc>
          <w:tcPr>
            <w:tcW w:w="3260" w:type="dxa"/>
            <w:shd w:val="clear" w:color="auto" w:fill="auto"/>
          </w:tcPr>
          <w:p w:rsidR="003C654B" w:rsidRPr="003B72C9" w:rsidRDefault="003C654B" w:rsidP="002E30FE">
            <w:pPr>
              <w:spacing w:before="100" w:beforeAutospacing="1"/>
            </w:pPr>
            <w:r w:rsidRPr="003B72C9">
              <w:t>М1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654B" w:rsidRPr="003B72C9" w:rsidRDefault="003C654B" w:rsidP="002E30FE">
            <w:pPr>
              <w:widowControl w:val="0"/>
              <w:spacing w:line="100" w:lineRule="atLeas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C654B" w:rsidRPr="003B72C9" w:rsidTr="003C654B">
        <w:tc>
          <w:tcPr>
            <w:tcW w:w="3260" w:type="dxa"/>
            <w:shd w:val="clear" w:color="auto" w:fill="auto"/>
          </w:tcPr>
          <w:p w:rsidR="003C654B" w:rsidRPr="003B72C9" w:rsidRDefault="003C654B" w:rsidP="002E30FE">
            <w:pPr>
              <w:spacing w:before="100" w:beforeAutospacing="1"/>
            </w:pPr>
            <w:r w:rsidRPr="003B72C9">
              <w:lastRenderedPageBreak/>
              <w:t xml:space="preserve">седан или </w:t>
            </w:r>
            <w:proofErr w:type="spellStart"/>
            <w:r w:rsidRPr="003B72C9">
              <w:t>хэтчбек</w:t>
            </w:r>
            <w:proofErr w:type="spellEnd"/>
            <w:r w:rsidRPr="003B72C9">
              <w:t>/ не менее 4</w:t>
            </w:r>
          </w:p>
        </w:tc>
        <w:tc>
          <w:tcPr>
            <w:tcW w:w="1134" w:type="dxa"/>
            <w:vMerge/>
            <w:shd w:val="clear" w:color="auto" w:fill="auto"/>
          </w:tcPr>
          <w:p w:rsidR="003C654B" w:rsidRPr="003B72C9" w:rsidRDefault="003C654B" w:rsidP="002E30FE">
            <w:pPr>
              <w:widowControl w:val="0"/>
              <w:spacing w:line="100" w:lineRule="atLeast"/>
              <w:jc w:val="both"/>
              <w:rPr>
                <w:bCs/>
              </w:rPr>
            </w:pPr>
          </w:p>
        </w:tc>
      </w:tr>
      <w:tr w:rsidR="003C654B" w:rsidRPr="003B72C9" w:rsidTr="003C654B">
        <w:tc>
          <w:tcPr>
            <w:tcW w:w="3260" w:type="dxa"/>
            <w:shd w:val="clear" w:color="auto" w:fill="auto"/>
          </w:tcPr>
          <w:p w:rsidR="003C654B" w:rsidRPr="003B72C9" w:rsidRDefault="003C654B" w:rsidP="002E30FE">
            <w:pPr>
              <w:spacing w:before="100" w:beforeAutospacing="1"/>
            </w:pPr>
            <w:r w:rsidRPr="003B72C9">
              <w:t>не менее 4</w:t>
            </w:r>
          </w:p>
        </w:tc>
        <w:tc>
          <w:tcPr>
            <w:tcW w:w="1134" w:type="dxa"/>
            <w:vMerge/>
            <w:shd w:val="clear" w:color="auto" w:fill="auto"/>
          </w:tcPr>
          <w:p w:rsidR="003C654B" w:rsidRPr="003B72C9" w:rsidRDefault="003C654B" w:rsidP="002E30FE">
            <w:pPr>
              <w:widowControl w:val="0"/>
              <w:spacing w:line="100" w:lineRule="atLeast"/>
              <w:jc w:val="both"/>
              <w:rPr>
                <w:bCs/>
              </w:rPr>
            </w:pPr>
          </w:p>
        </w:tc>
      </w:tr>
      <w:tr w:rsidR="003C654B" w:rsidRPr="003B72C9" w:rsidTr="003C654B">
        <w:tc>
          <w:tcPr>
            <w:tcW w:w="3260" w:type="dxa"/>
            <w:shd w:val="clear" w:color="auto" w:fill="auto"/>
          </w:tcPr>
          <w:p w:rsidR="003C654B" w:rsidRPr="003B72C9" w:rsidRDefault="003C654B" w:rsidP="002E30FE">
            <w:pPr>
              <w:spacing w:before="100" w:beforeAutospacing="1"/>
            </w:pPr>
            <w:r w:rsidRPr="003B72C9">
              <w:t>4 х 2/ передние</w:t>
            </w:r>
          </w:p>
        </w:tc>
        <w:tc>
          <w:tcPr>
            <w:tcW w:w="1134" w:type="dxa"/>
            <w:vMerge/>
            <w:shd w:val="clear" w:color="auto" w:fill="auto"/>
          </w:tcPr>
          <w:p w:rsidR="003C654B" w:rsidRPr="003B72C9" w:rsidRDefault="003C654B" w:rsidP="002E30FE">
            <w:pPr>
              <w:widowControl w:val="0"/>
              <w:spacing w:line="100" w:lineRule="atLeast"/>
              <w:jc w:val="both"/>
              <w:rPr>
                <w:bCs/>
              </w:rPr>
            </w:pPr>
          </w:p>
        </w:tc>
      </w:tr>
      <w:tr w:rsidR="003C654B" w:rsidRPr="003B72C9" w:rsidTr="003C654B">
        <w:tc>
          <w:tcPr>
            <w:tcW w:w="3260" w:type="dxa"/>
            <w:shd w:val="clear" w:color="auto" w:fill="auto"/>
          </w:tcPr>
          <w:p w:rsidR="003C654B" w:rsidRPr="003B72C9" w:rsidRDefault="003C654B" w:rsidP="002E30FE">
            <w:pPr>
              <w:spacing w:before="100" w:beforeAutospacing="1"/>
            </w:pPr>
            <w:proofErr w:type="spellStart"/>
            <w:r w:rsidRPr="003B72C9">
              <w:t>переднеприводная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3C654B" w:rsidRPr="003B72C9" w:rsidRDefault="003C654B" w:rsidP="002E30FE">
            <w:pPr>
              <w:widowControl w:val="0"/>
              <w:spacing w:line="100" w:lineRule="atLeast"/>
              <w:jc w:val="both"/>
              <w:rPr>
                <w:bCs/>
              </w:rPr>
            </w:pPr>
          </w:p>
        </w:tc>
      </w:tr>
      <w:tr w:rsidR="003C654B" w:rsidRPr="003B72C9" w:rsidTr="003C654B">
        <w:trPr>
          <w:trHeight w:val="700"/>
        </w:trPr>
        <w:tc>
          <w:tcPr>
            <w:tcW w:w="3260" w:type="dxa"/>
            <w:shd w:val="clear" w:color="auto" w:fill="auto"/>
          </w:tcPr>
          <w:p w:rsidR="003C654B" w:rsidRPr="003B72C9" w:rsidRDefault="003C654B" w:rsidP="002E30FE">
            <w:pPr>
              <w:spacing w:before="100" w:beforeAutospacing="1"/>
            </w:pPr>
            <w:r w:rsidRPr="003B72C9">
              <w:t>переднее поперечное</w:t>
            </w:r>
          </w:p>
        </w:tc>
        <w:tc>
          <w:tcPr>
            <w:tcW w:w="1134" w:type="dxa"/>
            <w:vMerge/>
            <w:shd w:val="clear" w:color="auto" w:fill="auto"/>
          </w:tcPr>
          <w:p w:rsidR="003C654B" w:rsidRPr="003B72C9" w:rsidRDefault="003C654B" w:rsidP="002E30FE">
            <w:pPr>
              <w:widowControl w:val="0"/>
              <w:spacing w:line="100" w:lineRule="atLeast"/>
              <w:jc w:val="both"/>
              <w:rPr>
                <w:bCs/>
              </w:rPr>
            </w:pPr>
          </w:p>
        </w:tc>
      </w:tr>
      <w:tr w:rsidR="003C654B" w:rsidRPr="003B72C9" w:rsidTr="003C654B">
        <w:tc>
          <w:tcPr>
            <w:tcW w:w="3260" w:type="dxa"/>
            <w:shd w:val="clear" w:color="auto" w:fill="auto"/>
          </w:tcPr>
          <w:p w:rsidR="003C654B" w:rsidRPr="003B72C9" w:rsidRDefault="003C654B" w:rsidP="002E30FE">
            <w:pPr>
              <w:spacing w:before="100" w:beforeAutospacing="1"/>
            </w:pPr>
            <w:r w:rsidRPr="003B72C9">
              <w:t>Четырехтактный, бензиновый</w:t>
            </w:r>
          </w:p>
        </w:tc>
        <w:tc>
          <w:tcPr>
            <w:tcW w:w="1134" w:type="dxa"/>
            <w:vMerge/>
            <w:shd w:val="clear" w:color="auto" w:fill="auto"/>
          </w:tcPr>
          <w:p w:rsidR="003C654B" w:rsidRPr="003B72C9" w:rsidRDefault="003C654B" w:rsidP="002E30FE">
            <w:pPr>
              <w:widowControl w:val="0"/>
              <w:spacing w:line="100" w:lineRule="atLeast"/>
              <w:jc w:val="both"/>
              <w:rPr>
                <w:bCs/>
              </w:rPr>
            </w:pPr>
          </w:p>
        </w:tc>
      </w:tr>
      <w:tr w:rsidR="003C654B" w:rsidRPr="003B72C9" w:rsidTr="003C654B">
        <w:tc>
          <w:tcPr>
            <w:tcW w:w="3260" w:type="dxa"/>
            <w:shd w:val="clear" w:color="auto" w:fill="auto"/>
          </w:tcPr>
          <w:p w:rsidR="003C654B" w:rsidRPr="003B72C9" w:rsidRDefault="003C654B" w:rsidP="002E30FE">
            <w:pPr>
              <w:spacing w:before="100" w:beforeAutospacing="1"/>
            </w:pPr>
            <w:r w:rsidRPr="003B72C9">
              <w:t>автоматическая</w:t>
            </w:r>
          </w:p>
        </w:tc>
        <w:tc>
          <w:tcPr>
            <w:tcW w:w="1134" w:type="dxa"/>
            <w:vMerge/>
            <w:shd w:val="clear" w:color="auto" w:fill="auto"/>
          </w:tcPr>
          <w:p w:rsidR="003C654B" w:rsidRPr="003B72C9" w:rsidRDefault="003C654B" w:rsidP="002E30FE">
            <w:pPr>
              <w:widowControl w:val="0"/>
              <w:spacing w:line="100" w:lineRule="atLeast"/>
              <w:jc w:val="both"/>
              <w:rPr>
                <w:bCs/>
              </w:rPr>
            </w:pPr>
          </w:p>
        </w:tc>
      </w:tr>
      <w:tr w:rsidR="003C654B" w:rsidRPr="003B72C9" w:rsidTr="003C654B">
        <w:tc>
          <w:tcPr>
            <w:tcW w:w="3260" w:type="dxa"/>
            <w:shd w:val="clear" w:color="auto" w:fill="auto"/>
          </w:tcPr>
          <w:p w:rsidR="003C654B" w:rsidRPr="003B72C9" w:rsidRDefault="003C654B" w:rsidP="002E30FE">
            <w:pPr>
              <w:spacing w:before="100" w:beforeAutospacing="1"/>
            </w:pPr>
            <w:r w:rsidRPr="003B72C9">
              <w:t>не более 1600</w:t>
            </w:r>
          </w:p>
        </w:tc>
        <w:tc>
          <w:tcPr>
            <w:tcW w:w="1134" w:type="dxa"/>
            <w:vMerge/>
            <w:shd w:val="clear" w:color="auto" w:fill="auto"/>
          </w:tcPr>
          <w:p w:rsidR="003C654B" w:rsidRPr="003B72C9" w:rsidRDefault="003C654B" w:rsidP="002E30FE">
            <w:pPr>
              <w:widowControl w:val="0"/>
              <w:spacing w:line="100" w:lineRule="atLeast"/>
              <w:jc w:val="both"/>
              <w:rPr>
                <w:bCs/>
              </w:rPr>
            </w:pPr>
          </w:p>
        </w:tc>
      </w:tr>
      <w:tr w:rsidR="003C654B" w:rsidRPr="003B72C9" w:rsidTr="003C654B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C654B" w:rsidRPr="003B72C9" w:rsidRDefault="003C654B" w:rsidP="002E30FE">
            <w:pPr>
              <w:spacing w:before="100" w:beforeAutospacing="1"/>
            </w:pPr>
            <w:r w:rsidRPr="003B72C9"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3C654B" w:rsidRPr="003B72C9" w:rsidRDefault="003C654B" w:rsidP="002E30FE">
            <w:pPr>
              <w:spacing w:before="100" w:beforeAutospacing="1"/>
            </w:pPr>
            <w:r w:rsidRPr="003B72C9">
              <w:t>специальные средства управления (адаптированные органы управления)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54B" w:rsidRPr="003B72C9" w:rsidRDefault="003C654B" w:rsidP="002E30FE">
            <w:pPr>
              <w:widowControl w:val="0"/>
              <w:spacing w:line="100" w:lineRule="atLeast"/>
              <w:jc w:val="both"/>
              <w:rPr>
                <w:bCs/>
              </w:rPr>
            </w:pPr>
          </w:p>
        </w:tc>
      </w:tr>
      <w:tr w:rsidR="003C654B" w:rsidRPr="003B72C9" w:rsidTr="003C654B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C654B" w:rsidRPr="003B72C9" w:rsidRDefault="003C654B" w:rsidP="002E30FE">
            <w:pPr>
              <w:spacing w:before="100" w:beforeAutospacing="1"/>
            </w:pPr>
            <w:r w:rsidRPr="003B72C9">
              <w:t>бензин с октановым числом не менее 95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54B" w:rsidRPr="003B72C9" w:rsidRDefault="003C654B" w:rsidP="002E30FE">
            <w:pPr>
              <w:widowControl w:val="0"/>
              <w:spacing w:line="100" w:lineRule="atLeast"/>
              <w:jc w:val="both"/>
              <w:rPr>
                <w:bCs/>
              </w:rPr>
            </w:pPr>
          </w:p>
        </w:tc>
      </w:tr>
    </w:tbl>
    <w:p w:rsidR="00B262ED" w:rsidRPr="003B72C9" w:rsidRDefault="00B262ED" w:rsidP="00B262ED">
      <w:pPr>
        <w:spacing w:line="100" w:lineRule="atLeast"/>
        <w:rPr>
          <w:b/>
          <w:bCs/>
          <w:sz w:val="22"/>
          <w:szCs w:val="22"/>
        </w:rPr>
      </w:pPr>
    </w:p>
    <w:p w:rsidR="00B262ED" w:rsidRPr="003B72C9" w:rsidRDefault="00B262ED" w:rsidP="00B262ED">
      <w:pPr>
        <w:spacing w:line="100" w:lineRule="atLeast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 xml:space="preserve">  </w:t>
      </w:r>
    </w:p>
    <w:p w:rsidR="00B262ED" w:rsidRPr="003B72C9" w:rsidRDefault="00B262ED" w:rsidP="00B262ED">
      <w:pPr>
        <w:spacing w:line="100" w:lineRule="atLeast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>5. Требования к сроку и (или) объему предоставленных гарантий качества Товара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5.1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Заказчику.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5.2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 (для а</w:t>
      </w:r>
      <w:r w:rsidRPr="003B72C9">
        <w:rPr>
          <w:bCs/>
          <w:sz w:val="22"/>
          <w:szCs w:val="22"/>
        </w:rPr>
        <w:t>втомобилей, предназначенных для лиц с ограниченными физическими возможностями, с   различными нарушени</w:t>
      </w:r>
      <w:r w:rsidR="00116929">
        <w:rPr>
          <w:bCs/>
          <w:sz w:val="22"/>
          <w:szCs w:val="22"/>
        </w:rPr>
        <w:t>ями функций нижних конечностей</w:t>
      </w:r>
      <w:r w:rsidRPr="003B72C9">
        <w:rPr>
          <w:bCs/>
          <w:sz w:val="22"/>
          <w:szCs w:val="22"/>
        </w:rPr>
        <w:t>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5.4 Условия и порядок гарантийного обслуживания Товара указаны в Сервисной книжке, выдаваемой Заказчику при фактической передаче Товара.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5.5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5.6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262ED" w:rsidRPr="003B72C9" w:rsidRDefault="00B262ED" w:rsidP="00B262ED">
      <w:pPr>
        <w:spacing w:line="100" w:lineRule="atLeast"/>
        <w:ind w:firstLine="426"/>
        <w:jc w:val="both"/>
        <w:rPr>
          <w:sz w:val="22"/>
          <w:szCs w:val="22"/>
        </w:rPr>
      </w:pPr>
    </w:p>
    <w:p w:rsidR="00B262ED" w:rsidRPr="003B72C9" w:rsidRDefault="00B262ED" w:rsidP="00B262ED">
      <w:pPr>
        <w:spacing w:line="100" w:lineRule="atLeast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 xml:space="preserve">  6. Требования к качеству, упаковке и отгрузке Товара</w:t>
      </w:r>
    </w:p>
    <w:p w:rsidR="00B262ED" w:rsidRPr="003B72C9" w:rsidRDefault="00B262ED" w:rsidP="00B262ED">
      <w:pPr>
        <w:spacing w:line="100" w:lineRule="atLeast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6.1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B262ED" w:rsidRPr="003B72C9" w:rsidRDefault="00B262ED" w:rsidP="00B262ED">
      <w:pPr>
        <w:spacing w:line="100" w:lineRule="atLeast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6.2 Качество и маркировка Товара должны соответствовать требованиям ТР ТС 018/2011.</w:t>
      </w:r>
    </w:p>
    <w:p w:rsidR="00B262ED" w:rsidRPr="003B72C9" w:rsidRDefault="00B262ED" w:rsidP="00B262ED">
      <w:pPr>
        <w:spacing w:line="100" w:lineRule="atLeast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6.3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Актов сдачи-приемки Товара.</w:t>
      </w:r>
    </w:p>
    <w:p w:rsidR="00B262ED" w:rsidRPr="003B72C9" w:rsidRDefault="00B262ED" w:rsidP="00B262ED">
      <w:pPr>
        <w:keepNext/>
        <w:widowControl w:val="0"/>
        <w:jc w:val="both"/>
        <w:rPr>
          <w:b/>
          <w:sz w:val="22"/>
          <w:szCs w:val="22"/>
        </w:rPr>
      </w:pPr>
    </w:p>
    <w:p w:rsidR="00B262ED" w:rsidRPr="003B72C9" w:rsidRDefault="00B262ED" w:rsidP="00B262ED">
      <w:pPr>
        <w:keepNext/>
        <w:widowControl w:val="0"/>
        <w:jc w:val="both"/>
        <w:rPr>
          <w:b/>
          <w:sz w:val="22"/>
          <w:szCs w:val="22"/>
        </w:rPr>
      </w:pPr>
      <w:r w:rsidRPr="003B72C9">
        <w:rPr>
          <w:b/>
          <w:sz w:val="22"/>
          <w:szCs w:val="22"/>
        </w:rPr>
        <w:t xml:space="preserve">  7. Место, объем и срок (период) поставки.</w:t>
      </w:r>
    </w:p>
    <w:p w:rsidR="00B262ED" w:rsidRPr="003B72C9" w:rsidRDefault="00B262ED" w:rsidP="00B262ED">
      <w:pPr>
        <w:keepNext/>
        <w:widowControl w:val="0"/>
        <w:jc w:val="both"/>
        <w:rPr>
          <w:sz w:val="22"/>
          <w:szCs w:val="22"/>
        </w:rPr>
      </w:pPr>
      <w:r w:rsidRPr="003B72C9">
        <w:rPr>
          <w:b/>
          <w:sz w:val="22"/>
          <w:szCs w:val="22"/>
        </w:rPr>
        <w:t xml:space="preserve">     </w:t>
      </w:r>
      <w:r w:rsidRPr="003B72C9">
        <w:rPr>
          <w:sz w:val="22"/>
          <w:szCs w:val="22"/>
        </w:rPr>
        <w:t xml:space="preserve"> Место поставки товара: Российская Федерация, </w:t>
      </w:r>
      <w:r w:rsidR="002E30FE" w:rsidRPr="00E701E0">
        <w:rPr>
          <w:kern w:val="1"/>
        </w:rPr>
        <w:t>Республика Тыва г. Кызыл</w:t>
      </w:r>
      <w:r w:rsidRPr="003B72C9">
        <w:rPr>
          <w:sz w:val="22"/>
          <w:szCs w:val="22"/>
        </w:rPr>
        <w:t xml:space="preserve">, склад Поставщика (представителя Поставщика, </w:t>
      </w:r>
      <w:r w:rsidRPr="003B72C9">
        <w:rPr>
          <w:bCs/>
          <w:sz w:val="22"/>
          <w:szCs w:val="22"/>
        </w:rPr>
        <w:t>действующего на основании доверенности</w:t>
      </w:r>
      <w:r w:rsidRPr="003B72C9">
        <w:rPr>
          <w:sz w:val="22"/>
          <w:szCs w:val="22"/>
        </w:rPr>
        <w:t>).</w:t>
      </w:r>
    </w:p>
    <w:p w:rsidR="00CD348D" w:rsidRDefault="00B262ED" w:rsidP="00B262ED">
      <w:pPr>
        <w:widowControl w:val="0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Общее количество поставляемых автомобилей – </w:t>
      </w:r>
      <w:r w:rsidR="002E30FE">
        <w:rPr>
          <w:bCs/>
          <w:sz w:val="22"/>
          <w:szCs w:val="22"/>
        </w:rPr>
        <w:t>3</w:t>
      </w:r>
      <w:r w:rsidRPr="003B72C9">
        <w:rPr>
          <w:bCs/>
          <w:sz w:val="22"/>
          <w:szCs w:val="22"/>
        </w:rPr>
        <w:t xml:space="preserve"> штуки,</w:t>
      </w:r>
    </w:p>
    <w:p w:rsidR="00B262ED" w:rsidRPr="003B72C9" w:rsidRDefault="00B262ED" w:rsidP="00B262ED">
      <w:pPr>
        <w:widowControl w:val="0"/>
        <w:jc w:val="both"/>
        <w:rPr>
          <w:bCs/>
          <w:sz w:val="22"/>
          <w:szCs w:val="22"/>
        </w:rPr>
      </w:pPr>
      <w:bookmarkStart w:id="0" w:name="_GoBack"/>
      <w:bookmarkEnd w:id="0"/>
      <w:r w:rsidRPr="003B72C9">
        <w:rPr>
          <w:bCs/>
          <w:sz w:val="22"/>
          <w:szCs w:val="22"/>
        </w:rPr>
        <w:t xml:space="preserve">      </w:t>
      </w:r>
      <w:r w:rsidRPr="003B72C9">
        <w:rPr>
          <w:bCs/>
          <w:sz w:val="22"/>
          <w:szCs w:val="22"/>
          <w:u w:val="single"/>
        </w:rPr>
        <w:t>Срок поставки товара</w:t>
      </w:r>
      <w:r w:rsidRPr="003B72C9">
        <w:rPr>
          <w:b/>
          <w:bCs/>
          <w:sz w:val="22"/>
          <w:szCs w:val="22"/>
        </w:rPr>
        <w:t>:</w:t>
      </w:r>
      <w:r w:rsidRPr="003B72C9">
        <w:rPr>
          <w:sz w:val="22"/>
          <w:szCs w:val="22"/>
        </w:rPr>
        <w:t xml:space="preserve"> </w:t>
      </w:r>
      <w:r w:rsidRPr="003B72C9">
        <w:rPr>
          <w:b/>
          <w:bCs/>
          <w:sz w:val="22"/>
          <w:szCs w:val="22"/>
        </w:rPr>
        <w:t xml:space="preserve">– </w:t>
      </w:r>
      <w:r w:rsidR="001D16A4">
        <w:rPr>
          <w:sz w:val="22"/>
          <w:szCs w:val="22"/>
        </w:rPr>
        <w:t>до</w:t>
      </w:r>
      <w:r w:rsidRPr="003B72C9">
        <w:rPr>
          <w:sz w:val="22"/>
          <w:szCs w:val="22"/>
        </w:rPr>
        <w:t xml:space="preserve"> </w:t>
      </w:r>
      <w:r w:rsidR="002E30FE">
        <w:rPr>
          <w:sz w:val="22"/>
          <w:szCs w:val="22"/>
        </w:rPr>
        <w:t>23</w:t>
      </w:r>
      <w:r w:rsidRPr="003B72C9">
        <w:rPr>
          <w:sz w:val="22"/>
          <w:szCs w:val="22"/>
        </w:rPr>
        <w:t xml:space="preserve"> декабря</w:t>
      </w:r>
      <w:r w:rsidR="001D16A4">
        <w:rPr>
          <w:bCs/>
          <w:sz w:val="22"/>
          <w:szCs w:val="22"/>
        </w:rPr>
        <w:t xml:space="preserve"> 2021</w:t>
      </w:r>
      <w:r w:rsidRPr="003B72C9">
        <w:rPr>
          <w:bCs/>
          <w:sz w:val="22"/>
          <w:szCs w:val="22"/>
        </w:rPr>
        <w:t xml:space="preserve"> г.</w:t>
      </w:r>
    </w:p>
    <w:p w:rsidR="00B262ED" w:rsidRPr="003B72C9" w:rsidRDefault="00B262ED" w:rsidP="00B262ED">
      <w:pPr>
        <w:keepNext/>
        <w:tabs>
          <w:tab w:val="num" w:pos="284"/>
          <w:tab w:val="left" w:pos="720"/>
        </w:tabs>
        <w:jc w:val="both"/>
        <w:rPr>
          <w:sz w:val="22"/>
          <w:szCs w:val="22"/>
        </w:rPr>
      </w:pPr>
    </w:p>
    <w:p w:rsidR="00B262ED" w:rsidRPr="003B72C9" w:rsidRDefault="00B262ED" w:rsidP="00B262ED">
      <w:pPr>
        <w:keepNext/>
        <w:tabs>
          <w:tab w:val="num" w:pos="284"/>
          <w:tab w:val="left" w:pos="720"/>
        </w:tabs>
        <w:jc w:val="both"/>
        <w:rPr>
          <w:b/>
          <w:sz w:val="22"/>
          <w:szCs w:val="22"/>
        </w:rPr>
      </w:pPr>
      <w:r w:rsidRPr="003B72C9">
        <w:rPr>
          <w:b/>
          <w:sz w:val="22"/>
          <w:szCs w:val="22"/>
        </w:rPr>
        <w:t xml:space="preserve">   8. Порядок формирования цены.</w:t>
      </w:r>
    </w:p>
    <w:p w:rsidR="00B262ED" w:rsidRPr="003B72C9" w:rsidRDefault="00B262ED" w:rsidP="00B262ED">
      <w:pPr>
        <w:widowControl w:val="0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 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3B72C9">
        <w:rPr>
          <w:kern w:val="1"/>
          <w:sz w:val="22"/>
          <w:szCs w:val="22"/>
        </w:rPr>
        <w:t>и предпродажную подготовку</w:t>
      </w:r>
      <w:r w:rsidRPr="003B72C9">
        <w:rPr>
          <w:sz w:val="22"/>
          <w:szCs w:val="22"/>
        </w:rPr>
        <w:t xml:space="preserve">, </w:t>
      </w:r>
      <w:r w:rsidRPr="003B72C9">
        <w:rPr>
          <w:kern w:val="1"/>
          <w:sz w:val="22"/>
          <w:szCs w:val="22"/>
        </w:rPr>
        <w:t>гарантийное обслуживание автомобилей,</w:t>
      </w:r>
      <w:r w:rsidRPr="003B72C9">
        <w:rPr>
          <w:sz w:val="22"/>
          <w:szCs w:val="22"/>
        </w:rPr>
        <w:t xml:space="preserve"> оформление всех документов, необходимых для постановки автомобилей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B262ED" w:rsidRPr="003B72C9" w:rsidRDefault="00B262ED" w:rsidP="00B262ED">
      <w:pPr>
        <w:widowControl w:val="0"/>
        <w:jc w:val="both"/>
        <w:rPr>
          <w:sz w:val="22"/>
          <w:szCs w:val="22"/>
        </w:rPr>
      </w:pPr>
    </w:p>
    <w:p w:rsidR="00B262ED" w:rsidRPr="003B72C9" w:rsidRDefault="00B262ED" w:rsidP="00B262ED">
      <w:pPr>
        <w:widowControl w:val="0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</w:t>
      </w:r>
      <w:r w:rsidRPr="003B72C9">
        <w:rPr>
          <w:b/>
          <w:bCs/>
          <w:sz w:val="22"/>
          <w:szCs w:val="22"/>
        </w:rPr>
        <w:t>9.</w:t>
      </w:r>
      <w:r w:rsidRPr="003B72C9">
        <w:rPr>
          <w:bCs/>
          <w:sz w:val="22"/>
          <w:szCs w:val="22"/>
        </w:rPr>
        <w:t xml:space="preserve">  </w:t>
      </w:r>
      <w:r w:rsidRPr="003B72C9">
        <w:rPr>
          <w:b/>
          <w:bCs/>
          <w:sz w:val="22"/>
          <w:szCs w:val="22"/>
        </w:rPr>
        <w:t>Условия передачи и приемки Товара.</w:t>
      </w:r>
      <w:r w:rsidRPr="003B72C9">
        <w:rPr>
          <w:bCs/>
          <w:sz w:val="22"/>
          <w:szCs w:val="22"/>
        </w:rPr>
        <w:t xml:space="preserve"> </w:t>
      </w:r>
    </w:p>
    <w:p w:rsidR="00B262ED" w:rsidRPr="003B72C9" w:rsidRDefault="00B262ED" w:rsidP="00B262ED">
      <w:pPr>
        <w:widowControl w:val="0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  Передача автомобилей должна осуществляться со склада Поставщика (представителя Поставщика, действующего на основании доверенности) в г. </w:t>
      </w:r>
      <w:r w:rsidR="002E30FE">
        <w:rPr>
          <w:bCs/>
          <w:sz w:val="22"/>
          <w:szCs w:val="22"/>
        </w:rPr>
        <w:t>Кызыл</w:t>
      </w:r>
      <w:r w:rsidRPr="003B72C9">
        <w:rPr>
          <w:bCs/>
          <w:sz w:val="22"/>
          <w:szCs w:val="22"/>
        </w:rPr>
        <w:t>, при предоставлении Получателями (их доверенными лицами) паспорта и Направления, выдаваемого Заказчиком.</w:t>
      </w:r>
    </w:p>
    <w:p w:rsidR="00B262ED" w:rsidRPr="003B72C9" w:rsidRDefault="00B262ED" w:rsidP="00B262ED">
      <w:pPr>
        <w:keepNext/>
        <w:widowControl w:val="0"/>
        <w:jc w:val="both"/>
        <w:rPr>
          <w:bCs/>
          <w:sz w:val="20"/>
          <w:szCs w:val="20"/>
          <w:u w:val="single"/>
        </w:rPr>
      </w:pPr>
    </w:p>
    <w:p w:rsidR="00B262ED" w:rsidRPr="003B72C9" w:rsidRDefault="00B262ED" w:rsidP="00B262ED">
      <w:pPr>
        <w:pStyle w:val="a3"/>
        <w:keepNext/>
        <w:widowControl w:val="0"/>
        <w:spacing w:before="0" w:beforeAutospacing="0" w:after="0" w:afterAutospacing="0"/>
        <w:rPr>
          <w:sz w:val="20"/>
          <w:szCs w:val="20"/>
        </w:rPr>
      </w:pPr>
    </w:p>
    <w:p w:rsidR="00C80110" w:rsidRDefault="00C80110"/>
    <w:sectPr w:rsidR="00C80110" w:rsidSect="001169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ED"/>
    <w:rsid w:val="00116929"/>
    <w:rsid w:val="001D16A4"/>
    <w:rsid w:val="002E2211"/>
    <w:rsid w:val="002E30FE"/>
    <w:rsid w:val="003C654B"/>
    <w:rsid w:val="00654375"/>
    <w:rsid w:val="009F6690"/>
    <w:rsid w:val="00B262ED"/>
    <w:rsid w:val="00C2137C"/>
    <w:rsid w:val="00C80110"/>
    <w:rsid w:val="00CD348D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497A-7381-424A-AA11-500F45EA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B262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aliases w:val="текст"/>
    <w:basedOn w:val="a"/>
    <w:link w:val="a5"/>
    <w:qFormat/>
    <w:rsid w:val="00B262ED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B262ED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262ED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B262E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6">
    <w:name w:val="Пункт"/>
    <w:basedOn w:val="a"/>
    <w:qFormat/>
    <w:rsid w:val="00B262E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543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DA97-53DC-45FE-BA74-BC78C3A5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 Кавкаев</dc:creator>
  <cp:keywords/>
  <dc:description/>
  <cp:lastModifiedBy>Кара-Сал Чойганмаа Маадыр-ооловна</cp:lastModifiedBy>
  <cp:revision>8</cp:revision>
  <cp:lastPrinted>2020-11-30T07:23:00Z</cp:lastPrinted>
  <dcterms:created xsi:type="dcterms:W3CDTF">2020-10-27T10:57:00Z</dcterms:created>
  <dcterms:modified xsi:type="dcterms:W3CDTF">2020-12-02T12:01:00Z</dcterms:modified>
</cp:coreProperties>
</file>