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bookmarkStart w:id="0" w:name="_GoBack"/>
      <w:bookmarkEnd w:id="0"/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4D06E1">
        <w:rPr>
          <w:bCs/>
          <w:sz w:val="24"/>
          <w:szCs w:val="24"/>
        </w:rPr>
        <w:t>в</w:t>
      </w:r>
      <w:r w:rsidR="004D06E1" w:rsidRPr="00DA47F5">
        <w:rPr>
          <w:sz w:val="24"/>
          <w:szCs w:val="24"/>
        </w:rPr>
        <w:t xml:space="preserve">ыполнение </w:t>
      </w:r>
      <w:r w:rsidR="00B445D7" w:rsidRPr="0063569F">
        <w:rPr>
          <w:sz w:val="24"/>
          <w:szCs w:val="24"/>
        </w:rPr>
        <w:t>работ по изготовлению протезов верхних конечностей,</w:t>
      </w:r>
      <w:r w:rsidR="00B445D7">
        <w:rPr>
          <w:sz w:val="24"/>
          <w:szCs w:val="24"/>
        </w:rPr>
        <w:t xml:space="preserve"> </w:t>
      </w:r>
      <w:r w:rsidR="00B445D7" w:rsidRPr="00891FCA">
        <w:rPr>
          <w:sz w:val="24"/>
        </w:rPr>
        <w:t>чехлов на культи верхних конечностей</w:t>
      </w:r>
      <w:r w:rsidR="00B445D7">
        <w:rPr>
          <w:sz w:val="24"/>
        </w:rPr>
        <w:t>,</w:t>
      </w:r>
      <w:r w:rsidR="00B445D7" w:rsidRPr="00891FCA">
        <w:rPr>
          <w:sz w:val="24"/>
          <w:szCs w:val="24"/>
        </w:rPr>
        <w:t xml:space="preserve"> косметических </w:t>
      </w:r>
      <w:r w:rsidR="00B445D7" w:rsidRPr="0063569F">
        <w:rPr>
          <w:sz w:val="24"/>
          <w:szCs w:val="24"/>
        </w:rPr>
        <w:t>оболочек на протезы верхних конечностей</w:t>
      </w:r>
      <w:r w:rsidR="00B445D7" w:rsidRPr="0063569F">
        <w:rPr>
          <w:bCs/>
          <w:sz w:val="24"/>
          <w:szCs w:val="24"/>
        </w:rPr>
        <w:t xml:space="preserve"> </w:t>
      </w:r>
      <w:r w:rsidR="00B445D7" w:rsidRPr="0063569F">
        <w:rPr>
          <w:sz w:val="24"/>
          <w:szCs w:val="24"/>
        </w:rPr>
        <w:t xml:space="preserve">для обеспечения застрахованных лиц, получивших </w:t>
      </w:r>
      <w:r w:rsidR="00B445D7" w:rsidRPr="0063569F">
        <w:rPr>
          <w:color w:val="000000"/>
          <w:sz w:val="24"/>
          <w:szCs w:val="24"/>
        </w:rPr>
        <w:t>повреждение здоровья вследствие несчастных случаев на производстве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B445D7" w:rsidRPr="00DA47F5" w:rsidRDefault="0083513B" w:rsidP="00B445D7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качеству работ:</w:t>
      </w:r>
      <w:r w:rsidR="0072175E" w:rsidRPr="0072175E">
        <w:rPr>
          <w:bCs/>
        </w:rPr>
        <w:t xml:space="preserve"> </w:t>
      </w:r>
      <w:r w:rsidR="00B445D7">
        <w:rPr>
          <w:bCs/>
        </w:rPr>
        <w:t>к</w:t>
      </w:r>
      <w:r w:rsidR="00B445D7" w:rsidRPr="00DA47F5">
        <w:t>ачество изделий</w:t>
      </w:r>
      <w:r w:rsidR="00B445D7" w:rsidRPr="00AA4B89">
        <w:t xml:space="preserve"> (</w:t>
      </w:r>
      <w:r w:rsidR="00B445D7">
        <w:t>протезов верхних конечностей</w:t>
      </w:r>
      <w:r w:rsidR="00B445D7" w:rsidRPr="00AA4B89">
        <w:t>)</w:t>
      </w:r>
      <w:r w:rsidR="00B445D7" w:rsidRPr="00DA47F5">
        <w:t xml:space="preserve">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B445D7" w:rsidRPr="00DA47F5" w:rsidRDefault="00B445D7" w:rsidP="00B445D7">
      <w:pPr>
        <w:keepNext/>
        <w:widowControl w:val="0"/>
        <w:ind w:firstLine="708"/>
        <w:jc w:val="both"/>
        <w:rPr>
          <w:b/>
          <w:bCs/>
        </w:rPr>
      </w:pPr>
      <w:r w:rsidRPr="00DA47F5">
        <w:rPr>
          <w:b/>
          <w:bCs/>
        </w:rPr>
        <w:t>Требования к техническим, функциональным характеристикам (потребительским свойствам) объекта закупки:</w:t>
      </w:r>
      <w:r w:rsidRPr="00DA47F5">
        <w:rPr>
          <w:bCs/>
        </w:rPr>
        <w:t xml:space="preserve"> в</w:t>
      </w:r>
      <w:r w:rsidRPr="00DA47F5">
        <w:rPr>
          <w:rFonts w:eastAsia="Calibri"/>
          <w:lang w:eastAsia="ru-RU"/>
        </w:rPr>
        <w:t xml:space="preserve"> соответствии с </w:t>
      </w:r>
      <w:hyperlink r:id="rId6" w:history="1">
        <w:r w:rsidRPr="00DA47F5">
          <w:rPr>
            <w:rStyle w:val="a9"/>
            <w:rFonts w:eastAsia="Calibri"/>
            <w:lang w:eastAsia="ru-RU"/>
          </w:rPr>
          <w:t>п.7 ч.1 ст.33</w:t>
        </w:r>
      </w:hyperlink>
      <w:r w:rsidRPr="00DA47F5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DA47F5">
        <w:rPr>
          <w:lang w:eastAsia="ru-RU"/>
        </w:rPr>
        <w:t>изделия должны быть новыми (изделиями,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DA47F5">
        <w:rPr>
          <w:rFonts w:eastAsia="Calibri"/>
          <w:lang w:eastAsia="ru-RU"/>
        </w:rPr>
        <w:t>.</w:t>
      </w:r>
    </w:p>
    <w:p w:rsidR="00B445D7" w:rsidRPr="00DA47F5" w:rsidRDefault="00B445D7" w:rsidP="00B445D7">
      <w:pPr>
        <w:keepNext/>
        <w:widowControl w:val="0"/>
        <w:jc w:val="both"/>
        <w:rPr>
          <w:rFonts w:eastAsia="Calibri"/>
          <w:lang w:eastAsia="ru-RU"/>
        </w:rPr>
      </w:pP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86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187"/>
        <w:gridCol w:w="1985"/>
        <w:gridCol w:w="1134"/>
      </w:tblGrid>
      <w:tr w:rsidR="00B445D7" w:rsidRPr="00CD4DAC" w:rsidTr="00F735B0">
        <w:tc>
          <w:tcPr>
            <w:tcW w:w="554" w:type="dxa"/>
            <w:vMerge w:val="restart"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187" w:type="dxa"/>
            <w:vMerge w:val="restart"/>
            <w:shd w:val="clear" w:color="auto" w:fill="auto"/>
            <w:vAlign w:val="center"/>
          </w:tcPr>
          <w:p w:rsidR="00B445D7" w:rsidRPr="00CD4DAC" w:rsidRDefault="00B445D7" w:rsidP="00F735B0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B445D7" w:rsidRPr="00CD4DAC" w:rsidTr="00F735B0">
        <w:tc>
          <w:tcPr>
            <w:tcW w:w="554" w:type="dxa"/>
            <w:vMerge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87" w:type="dxa"/>
            <w:vMerge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5D7" w:rsidRPr="00CD4DAC" w:rsidRDefault="00B445D7" w:rsidP="00F735B0">
            <w:pPr>
              <w:rPr>
                <w:rFonts w:eastAsia="Calibri"/>
                <w:b/>
                <w:sz w:val="20"/>
                <w:szCs w:val="20"/>
              </w:rPr>
            </w:pPr>
            <w:r w:rsidRPr="00CD4DAC"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D4DAC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кисти косметический изготавливается из приемной гильзы и кисти. Приемная гильза изготавливается индивидуально по слепку с культи Получателя. Кисть изготавливается из полихлорвинила. Крепление протеза осуществляется застежкой, манжеткой, на шнуровке или контактной лентой </w:t>
            </w:r>
            <w:r w:rsidRPr="00CD4DAC">
              <w:rPr>
                <w:rFonts w:eastAsia="Calibri"/>
                <w:sz w:val="20"/>
                <w:szCs w:val="20"/>
                <w:lang w:eastAsia="en-US"/>
              </w:rPr>
              <w:t>(в зависимости от индивидуальных особенностей Получателя)</w:t>
            </w:r>
            <w:r w:rsidRPr="00CD4DAC">
              <w:rPr>
                <w:rFonts w:eastAsia="Calibri"/>
                <w:sz w:val="20"/>
                <w:szCs w:val="20"/>
              </w:rPr>
              <w:t>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кисти косметический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D4DAC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  <w:lang w:eastAsia="en-US"/>
              </w:rPr>
              <w:t xml:space="preserve">Протез кисти косметический изготавливается из силикона с нейлоновой армирующей сеткой. Крепление протеза производится шнуровкой, или лентой-контакт, или молнией (в зависимости от индивидуальных особенностей Получателя). </w:t>
            </w:r>
            <w:r w:rsidRPr="00CD4DAC">
              <w:rPr>
                <w:rFonts w:eastAsia="Calibri"/>
                <w:sz w:val="20"/>
                <w:szCs w:val="20"/>
              </w:rPr>
              <w:t>Косметическая кисть по форме, цвету и структуре поверхности соответствует естественной кисти.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кисти косметический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кисти косметический изготавливается из кисти и косметической оболочки. Кисть изготавливается по индивидуальному слепку с культи инвалида. Кисть и косметическая оболочка изготавливаются из силикона с применением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эластоксила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. </w:t>
            </w:r>
            <w:r w:rsidRPr="00CD4DAC">
              <w:rPr>
                <w:rFonts w:eastAsia="Calibri"/>
                <w:color w:val="000000"/>
                <w:sz w:val="20"/>
                <w:szCs w:val="20"/>
              </w:rPr>
              <w:t>Приемной гильзой является сама силиконовая кисть.</w:t>
            </w:r>
            <w:r w:rsidRPr="00CD4DAC">
              <w:rPr>
                <w:rFonts w:eastAsia="Calibri"/>
                <w:sz w:val="20"/>
                <w:szCs w:val="20"/>
              </w:rPr>
              <w:t xml:space="preserve"> Крепление изготавливается из пластмассы. Крепление протеза осуществляется встроенной «молнией»</w:t>
            </w:r>
            <w:r w:rsidRPr="00CD4DAC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CD4DAC">
              <w:rPr>
                <w:rFonts w:eastAsia="Calibri"/>
                <w:sz w:val="20"/>
                <w:szCs w:val="20"/>
              </w:rPr>
              <w:t>Косметическая кисть по форме, цвету и структуре поверхности соответствует естественной кисти.</w:t>
            </w:r>
          </w:p>
          <w:p w:rsidR="00B445D7" w:rsidRPr="00CD4DAC" w:rsidRDefault="00B445D7" w:rsidP="00F735B0">
            <w:pPr>
              <w:suppressAutoHyphens w:val="0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</w:t>
            </w:r>
            <w:r w:rsidRPr="00CD4DAC">
              <w:rPr>
                <w:rFonts w:eastAsia="Calibri"/>
                <w:sz w:val="20"/>
                <w:szCs w:val="20"/>
              </w:rPr>
              <w:lastRenderedPageBreak/>
              <w:t>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lastRenderedPageBreak/>
              <w:t>Протез кисти косметический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D4DAC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keepNext/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кисти активный (тяговый) изготавливается из двух частей: каркасные (активные) элементы и приемная гильза. Гильза изготавливается по индивидуальному слепку, количество приемных (пробных) гильз – две. Постоянная приемная гильза изготавливается путем блокировки из низкотемпературного пластика. Материал модуля кисти – полиамид. Материал наконечников пальцев – силикон. Приемная гильза имеет две шарнирно-соединительные части, одна из которых фиксируется на предплечье, вторая –  плотно облегает культю кисти. Функция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осуществляется за счет движений в лучезапястном суставе. Тяговые тросы зафиксированы на опорной части протеза и регулируются индивидуально, что позволяет осуществлять требуемые функциональные позиции и менять очередность движения пальцев. Протез позволяет выполнять приведение и отведение кисти. Протез имеет возможность фиксации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в закрытом состоянии. Назначение – постоянное.</w:t>
            </w:r>
          </w:p>
          <w:p w:rsidR="00B445D7" w:rsidRPr="00CD4DAC" w:rsidRDefault="00B445D7" w:rsidP="00F735B0">
            <w:pPr>
              <w:keepNext/>
              <w:ind w:left="-57" w:right="-57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кисти активный (тяговый)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предплечья косметический изготавливается из приемной гильзы и косметической кисти. Гильза предплечья изготавливается индивидуально (по слепку с культи Получателя), материал гильзы слоистый пластик на основе полиамидных или акриловых смол (по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мед.показаниям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). Крепление протеза осуществляется кожаной гильзой плеча с локтевыми шинами (с замком или без него) или манжетой </w:t>
            </w:r>
            <w:r w:rsidRPr="00CD4DAC">
              <w:rPr>
                <w:rFonts w:eastAsia="Calibri"/>
                <w:sz w:val="20"/>
                <w:szCs w:val="20"/>
                <w:lang w:eastAsia="en-US"/>
              </w:rPr>
              <w:t xml:space="preserve">(в зависимости от индивидуальных особенностей Получателя). </w:t>
            </w:r>
            <w:r w:rsidRPr="00CD4DAC">
              <w:rPr>
                <w:rFonts w:eastAsia="Calibri"/>
                <w:sz w:val="20"/>
                <w:szCs w:val="20"/>
              </w:rPr>
              <w:t xml:space="preserve">Кисть косметическая изготавливается из </w:t>
            </w:r>
            <w:r w:rsidRPr="00CD4DAC">
              <w:rPr>
                <w:rFonts w:eastAsia="Calibri"/>
                <w:sz w:val="20"/>
                <w:szCs w:val="20"/>
                <w:lang w:eastAsia="en-US"/>
              </w:rPr>
              <w:t>силикона с нейлоновой армирующей сеткой.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предплечья косметический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предплечья рабочий </w:t>
            </w:r>
            <w:r w:rsidRPr="00CD4DAC">
              <w:rPr>
                <w:rFonts w:eastAsia="Calibri"/>
                <w:sz w:val="20"/>
                <w:szCs w:val="20"/>
                <w:lang w:eastAsia="en-US"/>
              </w:rPr>
              <w:t xml:space="preserve">изготавливается без модулей пальцев, пястей и кистей. Гильза </w:t>
            </w:r>
            <w:proofErr w:type="spellStart"/>
            <w:r w:rsidRPr="00CD4DAC">
              <w:rPr>
                <w:rFonts w:eastAsia="Calibri"/>
                <w:sz w:val="20"/>
                <w:szCs w:val="20"/>
                <w:lang w:eastAsia="en-US"/>
              </w:rPr>
              <w:t>культеприемника</w:t>
            </w:r>
            <w:proofErr w:type="spellEnd"/>
            <w:r w:rsidRPr="00CD4DAC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индивидуально (по слепку </w:t>
            </w:r>
            <w:r w:rsidRPr="00CD4DAC">
              <w:rPr>
                <w:rFonts w:eastAsia="Calibri"/>
                <w:sz w:val="20"/>
                <w:szCs w:val="20"/>
              </w:rPr>
              <w:t>с культи Получателя)</w:t>
            </w:r>
            <w:r w:rsidRPr="00CD4DAC">
              <w:rPr>
                <w:rFonts w:eastAsia="Calibri"/>
                <w:sz w:val="20"/>
                <w:szCs w:val="20"/>
                <w:lang w:eastAsia="en-US"/>
              </w:rPr>
              <w:t xml:space="preserve"> из литьевого слоистого пластика на основе связующих смол с манжеткой. Крепление протеза осуществляется ремнем через плечо. Протез изготавливается с приемником для рабочих насадок, которые крепятся к протезу при помощи хвостовика, который вставляется в приемник. К протезу прилагается комплект рабочих насадок и насадок для самообслуживания в различных комбинациях в зависимости от медицинских показаний и пожеланий Получателя.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предплечья рабочий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keepNext/>
              <w:ind w:left="-57" w:right="-57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CD4DAC">
              <w:rPr>
                <w:rFonts w:eastAsia="Calibri"/>
                <w:color w:val="000000"/>
                <w:sz w:val="20"/>
                <w:szCs w:val="20"/>
                <w:lang w:eastAsia="ru-RU"/>
              </w:rPr>
              <w:t>Изготавливается по индивидуальному тех. процессу.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CD4DA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Протез предплечья с тяговым управлением, гильза индивидуальная (по слепку с культи инвалида), материал гильзы: слоистый пластик на основе полиамидных или акриловых смол </w:t>
            </w:r>
            <w:r w:rsidRPr="00CD4DAC">
              <w:rPr>
                <w:rFonts w:eastAsia="Calibri"/>
                <w:sz w:val="20"/>
                <w:szCs w:val="20"/>
                <w:shd w:val="clear" w:color="auto" w:fill="FFFFFF"/>
              </w:rPr>
              <w:t>(по мед. показаниям)</w:t>
            </w:r>
            <w:r w:rsidRPr="00CD4DA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, крепление – петлей, кожаной манжеткой на плечо или кожаной гильзой с локтевыми шинами </w:t>
            </w:r>
            <w:r w:rsidRPr="00CD4DAC">
              <w:rPr>
                <w:rFonts w:eastAsia="Calibri"/>
                <w:sz w:val="20"/>
                <w:szCs w:val="20"/>
                <w:shd w:val="clear" w:color="auto" w:fill="FFFFFF"/>
              </w:rPr>
              <w:t>(по мед. показаниям)</w:t>
            </w:r>
            <w:r w:rsidRPr="00CD4DAC">
              <w:rPr>
                <w:rFonts w:eastAsia="Calibri"/>
                <w:color w:val="000000"/>
                <w:sz w:val="20"/>
                <w:szCs w:val="20"/>
                <w:lang w:eastAsia="ru-RU"/>
              </w:rPr>
              <w:t>, кисть пластмассовая, косметическая оболочка на кисть.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 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предплечья активный (тяговый)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плеча косметический модульного типа изготавливается из приемной гильзы и модулей. Гильза плеча изготавливается по индивидуальному слепку с культи получателя, тип гильзы: индивидуальная одинарная или индивидуальная составная в зависимости от индивидуальных особенностей получателя. Материал гильзы: кожа или литьевой слоистый пластик на основе связующих смол или листовой термопласт (в зависимости от индивидуальных особенностей получателя). Пробная гильза одна или отсутствует. Узел «локоть-предплечье» с бесступенчатой фиксацией с пассивной ротацией плеча, предплечья. Функция ротации реализована в составе модуля кисти. Управление сохранившейся рукой. Косметическая облицовка мягкая полиуретановая. Косметическая оболочка отсутствует или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силоновая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(по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мед.показаниям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). Тип вкладного элемента в приемной гильзе: отсутствует или чехол полимерный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гелевый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(в зависимости от индивидуальных особенностей получателя). Кисть косметическая из поливинилхлорида или кисть косметическая силиконовая с нейлоновой армирующей сеткой (в зависимости от индивидуальных особенностей получателя). Крепление индивидуальное или подгоночное или быстросъемный замок для чехла полимерного (в зависимости от индивидуальных особенностей получателя).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 плеча косметический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плеча рабочий с сохранившейся рукой или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противоупором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изготавливается из комплекта полуфабрикатов, приемной гильзы, комплекта рабочих насадок. Отсутствует управление, отсутствуют модули пальцев, пястей и кистей, кисть косметическая из ПВХ, локоть предплечье отсутствует, дополнительное РСУ отсутствует,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10мм, ротатор кистевой с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адаптором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для присоединения кистей косметических, тяговых каркасных без ротации и рабочих насадок имеющих адаптер; комплект рабочих насадок, приспособления отсутствуют, оболочка косметическая отсутствует, гильза индивидуальная составная, гильза унифицированная, кожаная из литьевого слоистого пластика на основе связующих смол, комплект полуфабрикатов протеза рабочего плеча с регулируемой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тугоподвижностью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шарнира плечевого, индивидуальное, подгоночное, специальное. 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плеча рабочий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4DAC">
              <w:rPr>
                <w:rFonts w:eastAsia="Calibri"/>
                <w:color w:val="000000"/>
                <w:sz w:val="20"/>
                <w:szCs w:val="20"/>
              </w:rPr>
              <w:t>Чехол хлопчатобумажный для культи верхней конечности. Изготавливается из хлопчатобумажной пряжи. Не имеет ярко выраженного шва. Размеры чехла соответствуют длине окружности культи.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Чехол должен </w:t>
            </w:r>
            <w:r w:rsidRPr="00CD4DAC">
              <w:rPr>
                <w:rFonts w:eastAsia="Calibri"/>
                <w:color w:val="000000"/>
                <w:sz w:val="20"/>
                <w:szCs w:val="20"/>
              </w:rPr>
              <w:t xml:space="preserve">плотно и равномерно покрывать и охватывать культю по всей поверхности, предотвращать развитие потертости, опрелости, </w:t>
            </w:r>
            <w:proofErr w:type="spellStart"/>
            <w:r w:rsidRPr="00CD4DAC">
              <w:rPr>
                <w:rFonts w:eastAsia="Calibri"/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CD4DAC">
              <w:rPr>
                <w:rFonts w:eastAsia="Calibri"/>
                <w:color w:val="000000"/>
                <w:sz w:val="20"/>
                <w:szCs w:val="20"/>
              </w:rPr>
              <w:t xml:space="preserve"> и других повреждений кожи культи.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Чехол на культю предплечья хлопчатобумажный</w:t>
            </w: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4DAC">
              <w:rPr>
                <w:rFonts w:eastAsia="Calibri"/>
                <w:color w:val="000000"/>
                <w:sz w:val="20"/>
                <w:szCs w:val="20"/>
              </w:rPr>
              <w:t>Чехол хлопчатобумажный для культи верхней конечности. Изготавливается из хлопчатобумажной пряжи. Не имеет ярко выраженного шва. Размеры чехла соответствуют длине окружности культи.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Чехол должен </w:t>
            </w:r>
            <w:r w:rsidRPr="00CD4DAC">
              <w:rPr>
                <w:rFonts w:eastAsia="Calibri"/>
                <w:color w:val="000000"/>
                <w:sz w:val="20"/>
                <w:szCs w:val="20"/>
              </w:rPr>
              <w:t xml:space="preserve">плотно и равномерно покрывать и охватывать культю по всей поверхности, предотвращать развитие потертости, опрелости, </w:t>
            </w:r>
            <w:proofErr w:type="spellStart"/>
            <w:r w:rsidRPr="00CD4DAC">
              <w:rPr>
                <w:rFonts w:eastAsia="Calibri"/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CD4DAC">
              <w:rPr>
                <w:rFonts w:eastAsia="Calibri"/>
                <w:color w:val="000000"/>
                <w:sz w:val="20"/>
                <w:szCs w:val="20"/>
              </w:rPr>
              <w:t xml:space="preserve"> и других повреждений кожи культи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Чехол на культю плеча хлопчатобумажный</w:t>
            </w:r>
          </w:p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187" w:type="dxa"/>
            <w:shd w:val="clear" w:color="auto" w:fill="auto"/>
          </w:tcPr>
          <w:p w:rsidR="00B445D7" w:rsidRPr="00CD4DAC" w:rsidRDefault="00B445D7" w:rsidP="00F735B0">
            <w:pPr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Оболочка косметическая с улучшенными эксплуатационными свойствами, по цвету и кожному рисунку повторяющая кисть сохранившейся верхней конечности, для протезов верхних конечностей, изготавливается из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пластизоля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>, силикона, внутри имеет формообразующий каркас.</w:t>
            </w:r>
          </w:p>
        </w:tc>
        <w:tc>
          <w:tcPr>
            <w:tcW w:w="1985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Косметическая оболочка на протез верхней конечности</w:t>
            </w:r>
          </w:p>
          <w:p w:rsidR="00B445D7" w:rsidRPr="00B445D7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B445D7" w:rsidRPr="00CD4DAC" w:rsidTr="00F735B0">
        <w:tc>
          <w:tcPr>
            <w:tcW w:w="554" w:type="dxa"/>
            <w:shd w:val="clear" w:color="auto" w:fill="auto"/>
          </w:tcPr>
          <w:p w:rsidR="00B445D7" w:rsidRPr="00CD4DAC" w:rsidRDefault="00B445D7" w:rsidP="00F73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2" w:type="dxa"/>
            <w:gridSpan w:val="2"/>
            <w:shd w:val="clear" w:color="auto" w:fill="auto"/>
          </w:tcPr>
          <w:p w:rsidR="00B445D7" w:rsidRPr="00CD4DAC" w:rsidRDefault="00B445D7" w:rsidP="00F735B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445D7" w:rsidRPr="00CD4DAC" w:rsidRDefault="00B445D7" w:rsidP="00F735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118</w:t>
            </w:r>
          </w:p>
        </w:tc>
      </w:tr>
    </w:tbl>
    <w:p w:rsidR="00C0433E" w:rsidRPr="00C0433E" w:rsidRDefault="00C0433E" w:rsidP="007D52B1"/>
    <w:p w:rsidR="00B445D7" w:rsidRPr="00564520" w:rsidRDefault="003C38BD" w:rsidP="00B445D7">
      <w:pPr>
        <w:jc w:val="both"/>
        <w:rPr>
          <w:bCs/>
        </w:rPr>
      </w:pPr>
      <w:r>
        <w:tab/>
      </w:r>
      <w:r w:rsidR="00B445D7" w:rsidRPr="00564520">
        <w:t>Срок пользования изделиями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445D7" w:rsidRPr="00564520" w:rsidRDefault="00B445D7" w:rsidP="00B445D7">
      <w:pPr>
        <w:jc w:val="both"/>
        <w:rPr>
          <w:bCs/>
        </w:rPr>
      </w:pPr>
      <w:r w:rsidRPr="00564520">
        <w:rPr>
          <w:bCs/>
        </w:rPr>
        <w:tab/>
      </w:r>
      <w:r w:rsidRPr="00564520">
        <w:rPr>
          <w:bCs/>
          <w:color w:val="000000"/>
        </w:rPr>
        <w:t xml:space="preserve">Выполняемые работы и изделия (протезы верхних конечностей, чехлы на культи плеча и предплечья хлопчатобумажные, </w:t>
      </w:r>
      <w:r w:rsidRPr="00564520">
        <w:rPr>
          <w:rFonts w:eastAsia="Calibri"/>
        </w:rPr>
        <w:t>косметические оболочки на протезы верхних конечностей</w:t>
      </w:r>
      <w:r w:rsidRPr="00564520">
        <w:rPr>
          <w:bCs/>
          <w:color w:val="000000"/>
        </w:rPr>
        <w:t xml:space="preserve">)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64520">
        <w:rPr>
          <w:bCs/>
          <w:color w:val="000000"/>
        </w:rPr>
        <w:t>цитотоксичность</w:t>
      </w:r>
      <w:proofErr w:type="spellEnd"/>
      <w:r w:rsidRPr="00564520">
        <w:rPr>
          <w:bCs/>
          <w:color w:val="000000"/>
        </w:rPr>
        <w:t xml:space="preserve">: методы </w:t>
      </w:r>
      <w:proofErr w:type="spellStart"/>
      <w:r w:rsidRPr="00564520">
        <w:rPr>
          <w:bCs/>
          <w:color w:val="000000"/>
        </w:rPr>
        <w:t>in</w:t>
      </w:r>
      <w:proofErr w:type="spellEnd"/>
      <w:r w:rsidRPr="00564520">
        <w:rPr>
          <w:bCs/>
          <w:color w:val="000000"/>
        </w:rPr>
        <w:t xml:space="preserve"> </w:t>
      </w:r>
      <w:proofErr w:type="spellStart"/>
      <w:r w:rsidRPr="00564520">
        <w:rPr>
          <w:bCs/>
          <w:color w:val="000000"/>
        </w:rPr>
        <w:t>vitro</w:t>
      </w:r>
      <w:proofErr w:type="spellEnd"/>
      <w:r w:rsidRPr="00564520"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57765-2017 «Изделия протезно-ортопедические. Общие технические требования»; ГОСТ Р 56138-2014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564520">
        <w:rPr>
          <w:bCs/>
          <w:color w:val="000000"/>
        </w:rPr>
        <w:t>ортезы</w:t>
      </w:r>
      <w:proofErr w:type="spellEnd"/>
      <w:r w:rsidRPr="00564520"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B445D7" w:rsidRPr="00564520" w:rsidRDefault="00B445D7" w:rsidP="00B445D7">
      <w:pPr>
        <w:ind w:firstLine="708"/>
        <w:jc w:val="both"/>
        <w:rPr>
          <w:lang w:eastAsia="en-US"/>
        </w:rPr>
      </w:pPr>
      <w:r w:rsidRPr="00564520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B445D7" w:rsidRPr="00564520" w:rsidRDefault="00B445D7" w:rsidP="00B445D7">
      <w:pPr>
        <w:jc w:val="both"/>
      </w:pPr>
      <w:r w:rsidRPr="00564520">
        <w:tab/>
      </w:r>
      <w:r w:rsidRPr="00564520">
        <w:rPr>
          <w:lang w:eastAsia="en-US"/>
        </w:rPr>
        <w:t>Изделия</w:t>
      </w:r>
      <w:r w:rsidRPr="00564520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B445D7" w:rsidRPr="00564520" w:rsidRDefault="00B445D7" w:rsidP="00B445D7">
      <w:pPr>
        <w:jc w:val="both"/>
      </w:pPr>
      <w:r w:rsidRPr="00564520">
        <w:tab/>
      </w:r>
      <w:r w:rsidRPr="00564520">
        <w:rPr>
          <w:lang w:eastAsia="en-US"/>
        </w:rPr>
        <w:t>Изделия</w:t>
      </w:r>
      <w:r w:rsidRPr="00564520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564520">
        <w:tab/>
      </w:r>
    </w:p>
    <w:p w:rsidR="00B445D7" w:rsidRPr="00564520" w:rsidRDefault="00B445D7" w:rsidP="00B445D7">
      <w:pPr>
        <w:jc w:val="both"/>
      </w:pPr>
      <w:r w:rsidRPr="00564520">
        <w:tab/>
        <w:t>-безопасность для кожных покровов;</w:t>
      </w:r>
    </w:p>
    <w:p w:rsidR="00B445D7" w:rsidRPr="00564520" w:rsidRDefault="00B445D7" w:rsidP="00B445D7">
      <w:pPr>
        <w:jc w:val="both"/>
      </w:pPr>
      <w:r w:rsidRPr="00564520">
        <w:tab/>
        <w:t>-комфортность;</w:t>
      </w:r>
    </w:p>
    <w:p w:rsidR="00B445D7" w:rsidRPr="00564520" w:rsidRDefault="00B445D7" w:rsidP="00B445D7">
      <w:pPr>
        <w:ind w:firstLine="708"/>
        <w:jc w:val="both"/>
      </w:pPr>
      <w:r w:rsidRPr="00564520">
        <w:t>-эстетичность;</w:t>
      </w:r>
    </w:p>
    <w:p w:rsidR="00B445D7" w:rsidRPr="00564520" w:rsidRDefault="00B445D7" w:rsidP="00B445D7">
      <w:pPr>
        <w:jc w:val="both"/>
      </w:pPr>
      <w:r w:rsidRPr="00564520">
        <w:tab/>
        <w:t>-простота пользования.</w:t>
      </w:r>
    </w:p>
    <w:p w:rsidR="000B79E8" w:rsidRPr="00D470EB" w:rsidRDefault="00B445D7" w:rsidP="00B445D7">
      <w:pPr>
        <w:jc w:val="both"/>
        <w:rPr>
          <w:lang w:eastAsia="ru-RU"/>
        </w:rPr>
      </w:pPr>
      <w:r w:rsidRPr="00564520">
        <w:tab/>
        <w:t>Материалы, применяемые для изготовления и</w:t>
      </w:r>
      <w:r w:rsidRPr="00564520">
        <w:rPr>
          <w:lang w:eastAsia="en-US"/>
        </w:rPr>
        <w:t>зделий</w:t>
      </w:r>
      <w:r w:rsidRPr="00564520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B445D7" w:rsidRPr="00564520">
        <w:rPr>
          <w:rFonts w:eastAsia="Calibri"/>
        </w:rPr>
        <w:t>на протезы верхних конечностей – 7 месяцев, на чехлы и оболочки – 3 месяца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B445D7" w:rsidRPr="00564520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B445D7" w:rsidRPr="005F69B1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</w:t>
      </w:r>
      <w:r w:rsidR="00B445D7" w:rsidRPr="00E17F10">
        <w:rPr>
          <w:rFonts w:eastAsia="Calibri"/>
        </w:rPr>
        <w:t>0</w:t>
      </w:r>
      <w:r w:rsidR="00B445D7" w:rsidRPr="005F69B1">
        <w:rPr>
          <w:rFonts w:eastAsia="Calibri"/>
        </w:rPr>
        <w:t xml:space="preserve"> декабря 202</w:t>
      </w:r>
      <w:r w:rsidR="00B445D7" w:rsidRPr="00E17F10">
        <w:rPr>
          <w:rFonts w:eastAsia="Calibri"/>
        </w:rPr>
        <w:t>1</w:t>
      </w:r>
      <w:r w:rsidR="00B445D7" w:rsidRPr="005F69B1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>римерка, обучение пользованию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CB4FE6">
      <w:pPr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54300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AF4E-E79B-49AA-AB16-705CA4D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DC14-400A-4AB5-A20F-B99527E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2535</Words>
  <Characters>14456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Князев Константин Сергеевич</cp:lastModifiedBy>
  <cp:revision>2</cp:revision>
  <cp:lastPrinted>2018-09-11T12:00:00Z</cp:lastPrinted>
  <dcterms:created xsi:type="dcterms:W3CDTF">2020-12-02T09:06:00Z</dcterms:created>
  <dcterms:modified xsi:type="dcterms:W3CDTF">2020-12-02T09:06:00Z</dcterms:modified>
</cp:coreProperties>
</file>