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5B0E84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 w:rsidRPr="005B0E84">
        <w:rPr>
          <w:b/>
          <w:i/>
          <w:color w:val="000000"/>
        </w:rPr>
        <w:t>№ 218. Оказание услуг по санаторно-курортному лечению граждан получателей государственной социальной помощи в виде набора социальных услуг с болезнями нервной системы в 2021 году.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411FE9" w:rsidRDefault="00D23F67" w:rsidP="00411FE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rPr>
          <w:color w:val="000000" w:themeColor="text1"/>
          <w:lang w:val="x-none" w:eastAsia="x-none"/>
        </w:rPr>
      </w:pPr>
      <w:r w:rsidRPr="00411FE9">
        <w:rPr>
          <w:u w:val="single"/>
          <w:lang w:val="x-none" w:eastAsia="x-none"/>
        </w:rPr>
        <w:t xml:space="preserve">Продолжительность </w:t>
      </w:r>
      <w:r w:rsidRPr="00411FE9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411FE9">
        <w:rPr>
          <w:i/>
          <w:color w:val="000000" w:themeColor="text1"/>
          <w:lang w:val="x-none" w:eastAsia="x-none"/>
        </w:rPr>
        <w:t xml:space="preserve"> </w:t>
      </w:r>
      <w:r w:rsidRPr="00411FE9">
        <w:rPr>
          <w:color w:val="000000" w:themeColor="text1"/>
          <w:lang w:eastAsia="x-none"/>
        </w:rPr>
        <w:t>18</w:t>
      </w:r>
      <w:r w:rsidRPr="00411FE9">
        <w:rPr>
          <w:color w:val="000000" w:themeColor="text1"/>
          <w:lang w:val="x-none" w:eastAsia="x-none"/>
        </w:rPr>
        <w:t xml:space="preserve"> д</w:t>
      </w:r>
      <w:r w:rsidRPr="00411FE9">
        <w:rPr>
          <w:color w:val="000000" w:themeColor="text1"/>
          <w:lang w:eastAsia="x-none"/>
        </w:rPr>
        <w:t>ней</w:t>
      </w:r>
      <w:r w:rsidRPr="00411FE9">
        <w:rPr>
          <w:color w:val="000000" w:themeColor="text1"/>
          <w:lang w:val="x-none" w:eastAsia="x-none"/>
        </w:rPr>
        <w:t xml:space="preserve">; </w:t>
      </w:r>
    </w:p>
    <w:p w:rsidR="00DB40D4" w:rsidRDefault="00DB40D4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color w:val="000000" w:themeColor="text1"/>
          <w:lang w:eastAsia="x-none"/>
        </w:rPr>
        <w:t xml:space="preserve"> </w:t>
      </w:r>
      <w:r w:rsidR="00FB37CB">
        <w:rPr>
          <w:color w:val="000000" w:themeColor="text1"/>
          <w:u w:val="single"/>
          <w:lang w:eastAsia="x-none"/>
        </w:rPr>
        <w:t>9</w:t>
      </w:r>
      <w:r w:rsidRPr="00DB40D4">
        <w:rPr>
          <w:color w:val="000000" w:themeColor="text1"/>
          <w:u w:val="single"/>
          <w:lang w:val="x-none" w:eastAsia="x-none"/>
        </w:rPr>
        <w:t>00 койко-дней</w:t>
      </w:r>
      <w:r w:rsidRPr="00DB40D4">
        <w:rPr>
          <w:color w:val="000000" w:themeColor="text1"/>
          <w:lang w:val="x-none" w:eastAsia="x-none"/>
        </w:rPr>
        <w:t xml:space="preserve">. </w:t>
      </w:r>
    </w:p>
    <w:p w:rsidR="00411FE9" w:rsidRDefault="00DB40D4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 xml:space="preserve">Количество путевок для граждан – получателей - </w:t>
      </w:r>
      <w:r w:rsidR="00FB37CB">
        <w:rPr>
          <w:color w:val="000000" w:themeColor="text1"/>
          <w:u w:val="single"/>
          <w:lang w:eastAsia="x-none"/>
        </w:rPr>
        <w:t>5</w:t>
      </w:r>
      <w:r w:rsidRPr="00DB40D4">
        <w:rPr>
          <w:color w:val="000000" w:themeColor="text1"/>
          <w:u w:val="single"/>
          <w:lang w:val="x-none" w:eastAsia="x-none"/>
        </w:rPr>
        <w:t xml:space="preserve">0 </w:t>
      </w:r>
      <w:proofErr w:type="spellStart"/>
      <w:r w:rsidRPr="00DB40D4">
        <w:rPr>
          <w:color w:val="000000" w:themeColor="text1"/>
          <w:u w:val="single"/>
          <w:lang w:val="x-none" w:eastAsia="x-none"/>
        </w:rPr>
        <w:t>усл.ед</w:t>
      </w:r>
      <w:proofErr w:type="spellEnd"/>
      <w:r w:rsidRPr="00DB40D4">
        <w:rPr>
          <w:color w:val="000000" w:themeColor="text1"/>
          <w:u w:val="single"/>
          <w:lang w:val="x-none" w:eastAsia="x-none"/>
        </w:rPr>
        <w:t>. (путевок)</w:t>
      </w:r>
      <w:r w:rsidRPr="00DB40D4">
        <w:rPr>
          <w:color w:val="000000" w:themeColor="text1"/>
          <w:lang w:val="x-none" w:eastAsia="x-none"/>
        </w:rPr>
        <w:t>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  <w:rPr>
          <w:bCs/>
        </w:rPr>
      </w:pPr>
      <w:r w:rsidRPr="00411FE9">
        <w:rPr>
          <w:b/>
        </w:rPr>
        <w:t xml:space="preserve">Место оказания услуг: </w:t>
      </w:r>
      <w:r w:rsidR="00FB37CB" w:rsidRPr="00FB37CB">
        <w:rPr>
          <w:bCs/>
        </w:rPr>
        <w:t>Российская Федерация. Кавказские Минеральные Воды, город-курорт Пятигорск.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</w:pPr>
      <w:r w:rsidRPr="00411FE9">
        <w:rPr>
          <w:b/>
          <w:color w:val="000000"/>
        </w:rPr>
        <w:t xml:space="preserve">Сроки оказания услуг: </w:t>
      </w:r>
      <w:r w:rsidR="00FB37CB" w:rsidRPr="00FB37CB">
        <w:rPr>
          <w:color w:val="000000"/>
        </w:rPr>
        <w:t>Заезды осуществляются в течение 2021 года с 01 апреля 2021 г. по ноябрь 2021 года. Дата начала последнего заезда не позднее 01.11.2021 г.</w:t>
      </w:r>
      <w:bookmarkStart w:id="0" w:name="_GoBack"/>
      <w:bookmarkEnd w:id="0"/>
    </w:p>
    <w:p w:rsidR="00411FE9" w:rsidRPr="00411FE9" w:rsidRDefault="00411FE9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411FE9">
        <w:rPr>
          <w:bCs/>
        </w:rPr>
        <w:t xml:space="preserve">Путевки предоставляются по адресу: 369039, РСО-Алания, г. Владикавказ ул. </w:t>
      </w:r>
      <w:proofErr w:type="spellStart"/>
      <w:r w:rsidRPr="00411FE9">
        <w:rPr>
          <w:bCs/>
        </w:rPr>
        <w:t>Галковского</w:t>
      </w:r>
      <w:proofErr w:type="spellEnd"/>
      <w:r w:rsidRPr="00411FE9">
        <w:rPr>
          <w:bCs/>
        </w:rPr>
        <w:t>, 237 «а».</w:t>
      </w:r>
    </w:p>
    <w:p w:rsidR="00D23F67" w:rsidRPr="00AA143C" w:rsidRDefault="00D23F67" w:rsidP="00D23F67">
      <w:pPr>
        <w:keepNext/>
        <w:tabs>
          <w:tab w:val="left" w:pos="1309"/>
        </w:tabs>
        <w:ind w:firstLine="709"/>
        <w:rPr>
          <w:lang w:eastAsia="ar-SA"/>
        </w:rPr>
      </w:pPr>
      <w:r w:rsidRPr="000D07A8">
        <w:rPr>
          <w:b/>
          <w:lang w:eastAsia="ar-SA"/>
        </w:rPr>
        <w:t>2.</w:t>
      </w:r>
      <w:r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5B0E84" w:rsidRPr="005B0E84" w:rsidRDefault="005B0E84" w:rsidP="005B0E84">
      <w:pPr>
        <w:widowControl w:val="0"/>
        <w:tabs>
          <w:tab w:val="num" w:pos="900"/>
          <w:tab w:val="left" w:pos="1080"/>
        </w:tabs>
        <w:spacing w:after="120"/>
        <w:ind w:firstLine="709"/>
      </w:pPr>
      <w:r w:rsidRPr="005B0E84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5B0E84">
        <w:t>Минздравсоцразвития</w:t>
      </w:r>
      <w:proofErr w:type="spellEnd"/>
      <w:r w:rsidRPr="005B0E84">
        <w:t xml:space="preserve"> РФ от 22.11.2004: 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0E84">
        <w:t>полиневропатиями</w:t>
      </w:r>
      <w:proofErr w:type="spellEnd"/>
      <w:r w:rsidRPr="005B0E84"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 w:rsidRPr="005B0E84">
        <w:t>Минздравсоцразвития</w:t>
      </w:r>
      <w:proofErr w:type="spellEnd"/>
      <w:r w:rsidRPr="005B0E84"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B0E84">
        <w:t>соматоформными</w:t>
      </w:r>
      <w:proofErr w:type="spellEnd"/>
      <w:r w:rsidRPr="005B0E84">
        <w:t xml:space="preserve"> расстройствами». </w:t>
      </w:r>
    </w:p>
    <w:p w:rsidR="00D23F67" w:rsidRDefault="005B0E84" w:rsidP="005B0E8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5B0E84">
        <w:t xml:space="preserve"> 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«неврология», «педиатрия»),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B0E84">
        <w:t>Сколково</w:t>
      </w:r>
      <w:proofErr w:type="spellEnd"/>
      <w:r w:rsidRPr="005B0E84"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5B0E84">
        <w:rPr>
          <w:bCs/>
          <w:lang w:val="x-none" w:eastAsia="x-none"/>
        </w:rPr>
        <w:t>.</w:t>
      </w:r>
    </w:p>
    <w:p w:rsidR="00F14F62" w:rsidRPr="00F14F62" w:rsidRDefault="00D23F67" w:rsidP="00F14F62">
      <w:pPr>
        <w:rPr>
          <w:rFonts w:eastAsia="Arial Unicode MS"/>
          <w:b/>
          <w:bCs/>
          <w:kern w:val="3"/>
          <w:sz w:val="22"/>
          <w:szCs w:val="22"/>
        </w:rPr>
      </w:pPr>
      <w:r w:rsidRPr="00AA143C">
        <w:rPr>
          <w:b/>
          <w:bCs/>
        </w:rPr>
        <w:t xml:space="preserve">        </w:t>
      </w:r>
      <w:r w:rsidR="00F14F62" w:rsidRPr="00F14F62">
        <w:rPr>
          <w:rFonts w:eastAsia="Arial Unicode MS"/>
          <w:b/>
          <w:bCs/>
          <w:kern w:val="3"/>
          <w:sz w:val="22"/>
          <w:szCs w:val="22"/>
        </w:rPr>
        <w:t>4. Требования к условиям размещения и проживания: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Общие требования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</w:t>
      </w:r>
      <w:r w:rsidRPr="00F14F62">
        <w:rPr>
          <w:rFonts w:eastAsia="Arial Unicode MS"/>
          <w:kern w:val="3"/>
          <w:sz w:val="22"/>
          <w:szCs w:val="22"/>
        </w:rPr>
        <w:lastRenderedPageBreak/>
        <w:t>федеральных органов исполнительной власти.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Требования к прилегающей территории и зоне отдыха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застрахованных лиц, пострадавших в результате несчастных случаев на производстве и профессиональных заболеваний (далее – застрахованных лиц).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Территория санатория должна быть благоустроена, озеленена, ограждена и освещена в темное время суток.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Зона приема застрахованных лиц должна быть оборудована отдельным въездом или входом и расположена вблизи приемного отделения.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зданиям, техническому оборудованию и оснащению помещений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Для застрахованных лиц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разноуровневые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застрахованных лиц мест проживания, общественных зон зданий и территории.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</w:t>
      </w:r>
      <w:r w:rsidRPr="00F14F62">
        <w:rPr>
          <w:color w:val="000000"/>
          <w:sz w:val="22"/>
          <w:szCs w:val="22"/>
          <w:lang w:eastAsia="ar-SA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досуга.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Роспотребнадзора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  <w:r w:rsidRPr="00F14F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Покрытия мебели - столов, кроватей, тумбочек, шкафов и т.п. - должны быть гладкими,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нетравмоопасными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>, без острых углов.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услугам, предоставляемым в санаториях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F14F62" w:rsidRPr="00F14F62" w:rsidRDefault="00F14F62" w:rsidP="00F14F62">
      <w:pPr>
        <w:tabs>
          <w:tab w:val="left" w:pos="1309"/>
        </w:tabs>
        <w:suppressAutoHyphens/>
        <w:ind w:firstLine="567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color w:val="000000"/>
          <w:sz w:val="22"/>
          <w:szCs w:val="22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застрахованных лиц, климатических условий и т.п.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Информация об исполнителе услуг и предоставляемых услугах быть доведена до застрахованных лиц доступным и наглядным способом.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Информация для застрахованных лиц должна находиться в службе размещения и/или приемном отделении и содержать следующие сведения: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фирменное наименование (наименование) исполнителя услуг и вышестоящей организации;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lastRenderedPageBreak/>
        <w:t>- порядок (правила) проживания в средстве размещения;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классификации средства размещения (свидетельство о категории);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);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перечень предоставляемых услуг, включенных в стоимость путевки;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дополнительных платных услуг, их стоимость и порядок оплаты;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документов, необходимых для проживания и лечения;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расчетов с потребителями услуг и другую полезную информацию.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безопасности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должны быть обеспечены безопасные условия для жизни и здоровья проживающих застрахованных лиц,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размещения;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уборки номеров, других общественных и служебных помещений;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обработки (стирки, глажения, хранения) белья;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содержания и обработки уборочного инвентаря;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удаления отходов и защиты от насекомых и грызунов;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качества питьевой воды и воды хозяйственного назначения;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освещения и состояния микроклимата в номерах, общественных и производственных помещениях.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kern w:val="3"/>
          <w:sz w:val="22"/>
          <w:szCs w:val="22"/>
        </w:rPr>
      </w:pPr>
      <w:r w:rsidRPr="00F14F62">
        <w:rPr>
          <w:rFonts w:eastAsia="Arial Unicode MS"/>
          <w:b/>
          <w:kern w:val="3"/>
          <w:sz w:val="22"/>
          <w:szCs w:val="22"/>
        </w:rPr>
        <w:t>Требования к персоналу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F14F62">
        <w:rPr>
          <w:rFonts w:eastAsia="Arial Unicode MS"/>
          <w:b/>
          <w:bCs/>
          <w:kern w:val="3"/>
          <w:sz w:val="23"/>
          <w:szCs w:val="23"/>
        </w:rPr>
        <w:t xml:space="preserve"> </w:t>
      </w:r>
    </w:p>
    <w:p w:rsidR="00F14F62" w:rsidRPr="00F14F62" w:rsidRDefault="00F14F62" w:rsidP="00F14F62">
      <w:pPr>
        <w:suppressAutoHyphens/>
        <w:rPr>
          <w:b/>
          <w:bCs/>
        </w:rPr>
      </w:pPr>
      <w:r w:rsidRPr="00F14F62">
        <w:rPr>
          <w:b/>
          <w:bCs/>
          <w:color w:val="000000"/>
        </w:rPr>
        <w:t xml:space="preserve">Приложение А (обязательное). </w:t>
      </w:r>
      <w:r w:rsidRPr="00F14F62">
        <w:rPr>
          <w:b/>
          <w:bCs/>
        </w:rPr>
        <w:t>Общие требования к санаториям</w:t>
      </w:r>
    </w:p>
    <w:tbl>
      <w:tblPr>
        <w:tblW w:w="0" w:type="auto"/>
        <w:tblCellSpacing w:w="15" w:type="dxa"/>
        <w:tblInd w:w="69" w:type="dxa"/>
        <w:tblLook w:val="04A0" w:firstRow="1" w:lastRow="0" w:firstColumn="1" w:lastColumn="0" w:noHBand="0" w:noVBand="1"/>
      </w:tblPr>
      <w:tblGrid>
        <w:gridCol w:w="9270"/>
      </w:tblGrid>
      <w:tr w:rsidR="00F14F62" w:rsidRPr="00F14F62" w:rsidTr="00F875F8">
        <w:trPr>
          <w:trHeight w:val="710"/>
          <w:tblCellSpacing w:w="15" w:type="dxa"/>
        </w:trPr>
        <w:tc>
          <w:tcPr>
            <w:tcW w:w="9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Вывеска: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Вход для гостей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наличие пандуса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автостоянки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Наличие автостоянки для застрахованных лиц (не менее трех </w:t>
            </w:r>
            <w:proofErr w:type="spellStart"/>
            <w:r w:rsidRPr="00F14F62">
              <w:rPr>
                <w:sz w:val="18"/>
                <w:szCs w:val="18"/>
              </w:rPr>
              <w:t>машиномест</w:t>
            </w:r>
            <w:proofErr w:type="spellEnd"/>
            <w:r w:rsidRPr="00F14F62">
              <w:rPr>
                <w:sz w:val="18"/>
                <w:szCs w:val="18"/>
              </w:rPr>
              <w:t>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Водоснабжение (круглосуточно)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095A0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4F62">
              <w:rPr>
                <w:sz w:val="18"/>
                <w:szCs w:val="18"/>
              </w:rPr>
              <w:t>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горячее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холодное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Канализация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Телевидение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Лифт в здании: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более двух этажей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туалетов: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Ресторан и/или столовая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Медицинский кабинет: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круглосуточным режимом работы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 xml:space="preserve">Приложение Б (обязательное). </w:t>
      </w:r>
      <w:r w:rsidRPr="00F14F62">
        <w:rPr>
          <w:b/>
          <w:bCs/>
          <w:sz w:val="18"/>
          <w:szCs w:val="18"/>
        </w:rPr>
        <w:t>Общие требования к номерам санаториев</w:t>
      </w:r>
    </w:p>
    <w:tbl>
      <w:tblPr>
        <w:tblW w:w="0" w:type="auto"/>
        <w:tblCellSpacing w:w="15" w:type="dxa"/>
        <w:tblInd w:w="24" w:type="dxa"/>
        <w:tblLook w:val="04A0" w:firstRow="1" w:lastRow="0" w:firstColumn="1" w:lastColumn="0" w:noHBand="0" w:noVBand="1"/>
      </w:tblPr>
      <w:tblGrid>
        <w:gridCol w:w="9315"/>
      </w:tblGrid>
      <w:tr w:rsidR="00F14F62" w:rsidRPr="00F14F62" w:rsidTr="00F875F8">
        <w:trPr>
          <w:trHeight w:val="15"/>
          <w:tblCellSpacing w:w="15" w:type="dxa"/>
        </w:trPr>
        <w:tc>
          <w:tcPr>
            <w:tcW w:w="9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jc w:val="left"/>
              <w:rPr>
                <w:sz w:val="20"/>
                <w:szCs w:val="20"/>
              </w:rPr>
            </w:pP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F14F62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F14F62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F14F62" w:rsidRPr="00F14F62" w:rsidTr="00F875F8">
        <w:trPr>
          <w:trHeight w:val="267"/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одноместного - 9 м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двухместного - 12 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Освещение: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естественное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искусственное: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Выключатель освещения у входа в номер и у изголовья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Телевизор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F14F62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proofErr w:type="spellStart"/>
            <w:r w:rsidRPr="00F14F62">
              <w:rPr>
                <w:sz w:val="18"/>
                <w:szCs w:val="18"/>
              </w:rPr>
              <w:t>Электророзетки</w:t>
            </w:r>
            <w:proofErr w:type="spellEnd"/>
            <w:r w:rsidRPr="00F14F62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односпальная 90х200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</w:t>
            </w:r>
            <w:proofErr w:type="spellStart"/>
            <w:r w:rsidRPr="00F14F62">
              <w:rPr>
                <w:sz w:val="18"/>
                <w:szCs w:val="18"/>
              </w:rPr>
              <w:t>двухспальная</w:t>
            </w:r>
            <w:proofErr w:type="spellEnd"/>
            <w:r w:rsidRPr="00F14F62">
              <w:rPr>
                <w:sz w:val="18"/>
                <w:szCs w:val="18"/>
              </w:rPr>
              <w:t xml:space="preserve"> 180x200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F14F62">
              <w:rPr>
                <w:sz w:val="18"/>
                <w:szCs w:val="18"/>
              </w:rPr>
              <w:t>наматрацником</w:t>
            </w:r>
            <w:proofErr w:type="spellEnd"/>
            <w:r w:rsidRPr="00F14F62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дополнительное одеяло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3F046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для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Графин, стаканы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Щетки: одежная, обувная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Пепельница (ы)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справочник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Анкета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78645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Фен для сушки волос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не менее двух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Туалетная бумага: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с резервным рулоном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Крышка для унитаза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color w:val="FF0000"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>Приложение В (обязательное)</w:t>
      </w:r>
      <w:r w:rsidRPr="00F14F62">
        <w:rPr>
          <w:b/>
          <w:bCs/>
          <w:sz w:val="18"/>
          <w:szCs w:val="18"/>
        </w:rPr>
        <w:t>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331"/>
      </w:tblGrid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F14F62" w:rsidRPr="00F14F62" w:rsidTr="00F875F8">
        <w:trPr>
          <w:trHeight w:val="81"/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пять дней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полотенец: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три дня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Стирка и глажение: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Хранение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такси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Медицинские услуги: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торговли: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19305A"/>
    <w:rsid w:val="00392251"/>
    <w:rsid w:val="00411FE9"/>
    <w:rsid w:val="00444D19"/>
    <w:rsid w:val="00462EE4"/>
    <w:rsid w:val="004C1A9D"/>
    <w:rsid w:val="00597B3E"/>
    <w:rsid w:val="005B0E84"/>
    <w:rsid w:val="0083292A"/>
    <w:rsid w:val="00B77284"/>
    <w:rsid w:val="00C14DC7"/>
    <w:rsid w:val="00D23F67"/>
    <w:rsid w:val="00DB40D4"/>
    <w:rsid w:val="00DC4582"/>
    <w:rsid w:val="00F14F62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8</cp:revision>
  <dcterms:created xsi:type="dcterms:W3CDTF">2020-12-10T11:42:00Z</dcterms:created>
  <dcterms:modified xsi:type="dcterms:W3CDTF">2020-12-11T12:22:00Z</dcterms:modified>
</cp:coreProperties>
</file>