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A520C7" w:rsidRPr="000A357E" w:rsidRDefault="00A520C7" w:rsidP="00A520C7">
      <w:pPr>
        <w:autoSpaceDE w:val="0"/>
        <w:autoSpaceDN w:val="0"/>
        <w:adjustRightInd w:val="0"/>
        <w:ind w:firstLine="540"/>
        <w:jc w:val="both"/>
        <w:rPr>
          <w:sz w:val="26"/>
          <w:szCs w:val="26"/>
        </w:rPr>
      </w:pPr>
      <w:r w:rsidRPr="000A357E">
        <w:rPr>
          <w:sz w:val="26"/>
          <w:szCs w:val="26"/>
        </w:rPr>
        <w:t xml:space="preserve">Требования к безопасности Изделий должны соответствовать ГОСТ ISO 10993-1-2011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0A357E">
        <w:rPr>
          <w:sz w:val="26"/>
          <w:szCs w:val="26"/>
        </w:rPr>
        <w:t>цитотоксичность</w:t>
      </w:r>
      <w:proofErr w:type="spellEnd"/>
      <w:r w:rsidRPr="000A357E">
        <w:rPr>
          <w:sz w:val="26"/>
          <w:szCs w:val="26"/>
        </w:rPr>
        <w:t xml:space="preserve">: методы </w:t>
      </w:r>
      <w:proofErr w:type="spellStart"/>
      <w:r w:rsidRPr="000A357E">
        <w:rPr>
          <w:sz w:val="26"/>
          <w:szCs w:val="26"/>
        </w:rPr>
        <w:t>in</w:t>
      </w:r>
      <w:proofErr w:type="spellEnd"/>
      <w:r w:rsidRPr="000A357E">
        <w:rPr>
          <w:sz w:val="26"/>
          <w:szCs w:val="26"/>
        </w:rPr>
        <w:t xml:space="preserve"> </w:t>
      </w:r>
      <w:proofErr w:type="spellStart"/>
      <w:r w:rsidRPr="000A357E">
        <w:rPr>
          <w:sz w:val="26"/>
          <w:szCs w:val="26"/>
        </w:rPr>
        <w:t>vitro</w:t>
      </w:r>
      <w:proofErr w:type="spellEnd"/>
      <w:r w:rsidRPr="000A357E">
        <w:rPr>
          <w:sz w:val="26"/>
          <w:szCs w:val="26"/>
        </w:rPr>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w:t>
      </w:r>
    </w:p>
    <w:p w:rsidR="00E35808" w:rsidRPr="000A357E" w:rsidRDefault="00E35808" w:rsidP="009226AD">
      <w:pPr>
        <w:jc w:val="both"/>
        <w:rPr>
          <w:b/>
          <w:sz w:val="26"/>
          <w:szCs w:val="26"/>
        </w:rPr>
      </w:pPr>
    </w:p>
    <w:p w:rsidR="009226AD" w:rsidRPr="000A357E" w:rsidRDefault="009226AD" w:rsidP="009226AD">
      <w:pPr>
        <w:spacing w:after="160" w:line="259" w:lineRule="auto"/>
        <w:jc w:val="both"/>
        <w:rPr>
          <w:rFonts w:eastAsia="Andale Sans UI"/>
          <w:kern w:val="1"/>
          <w:sz w:val="26"/>
          <w:szCs w:val="26"/>
          <w:lang w:eastAsia="ar-SA"/>
        </w:rPr>
      </w:pPr>
      <w:r w:rsidRPr="000A357E">
        <w:rPr>
          <w:b/>
          <w:bCs/>
          <w:kern w:val="1"/>
          <w:sz w:val="26"/>
          <w:szCs w:val="26"/>
        </w:rPr>
        <w:t xml:space="preserve">Место выполнения работ: </w:t>
      </w:r>
      <w:r w:rsidRPr="000A357E">
        <w:rPr>
          <w:rFonts w:eastAsia="Andale Sans UI"/>
          <w:kern w:val="1"/>
          <w:sz w:val="26"/>
          <w:szCs w:val="26"/>
          <w:lang w:eastAsia="ar-SA"/>
        </w:rPr>
        <w:t>Осуществить примерку и выдачу готов</w:t>
      </w:r>
      <w:r w:rsidR="000A357E" w:rsidRPr="000A357E">
        <w:rPr>
          <w:rFonts w:eastAsia="Andale Sans UI"/>
          <w:kern w:val="1"/>
          <w:sz w:val="26"/>
          <w:szCs w:val="26"/>
          <w:lang w:eastAsia="ar-SA"/>
        </w:rPr>
        <w:t>ых</w:t>
      </w:r>
      <w:r w:rsidRPr="000A357E">
        <w:rPr>
          <w:rFonts w:eastAsia="Andale Sans UI"/>
          <w:kern w:val="1"/>
          <w:sz w:val="26"/>
          <w:szCs w:val="26"/>
          <w:lang w:eastAsia="ar-SA"/>
        </w:rPr>
        <w:t xml:space="preserve"> Издели</w:t>
      </w:r>
      <w:r w:rsidR="000A357E" w:rsidRPr="000A357E">
        <w:rPr>
          <w:rFonts w:eastAsia="Andale Sans UI"/>
          <w:kern w:val="1"/>
          <w:sz w:val="26"/>
          <w:szCs w:val="26"/>
          <w:lang w:eastAsia="ar-SA"/>
        </w:rPr>
        <w:t>й</w:t>
      </w:r>
      <w:r w:rsidRPr="000A357E">
        <w:rPr>
          <w:rFonts w:eastAsia="Andale Sans UI"/>
          <w:kern w:val="1"/>
          <w:sz w:val="26"/>
          <w:szCs w:val="26"/>
          <w:lang w:eastAsia="ar-SA"/>
        </w:rPr>
        <w:t xml:space="preserve"> в специализированных помещениях на территории Ханты-Мансийского автономного округа-Югры.</w:t>
      </w:r>
    </w:p>
    <w:p w:rsidR="000A357E" w:rsidRDefault="009226AD" w:rsidP="009A4C9B">
      <w:pPr>
        <w:spacing w:after="160" w:line="259" w:lineRule="auto"/>
        <w:jc w:val="both"/>
        <w:rPr>
          <w:rFonts w:eastAsia="Andale Sans UI"/>
          <w:kern w:val="1"/>
          <w:sz w:val="26"/>
          <w:szCs w:val="26"/>
          <w:lang w:eastAsia="ar-SA"/>
        </w:rPr>
      </w:pPr>
      <w:r w:rsidRPr="000A357E">
        <w:rPr>
          <w:b/>
          <w:bCs/>
          <w:kern w:val="1"/>
          <w:sz w:val="26"/>
          <w:szCs w:val="26"/>
        </w:rPr>
        <w:t xml:space="preserve">Сроки выполнения работ: </w:t>
      </w:r>
      <w:r w:rsidRPr="000A357E">
        <w:rPr>
          <w:rFonts w:eastAsia="Andale Sans UI"/>
          <w:kern w:val="1"/>
          <w:sz w:val="26"/>
          <w:szCs w:val="26"/>
          <w:lang w:eastAsia="ar-SA"/>
        </w:rPr>
        <w:t xml:space="preserve">Выдать готовое изделие, соответствующее техническому заданию контракта непосредственно Получателю не позднее </w:t>
      </w:r>
      <w:r w:rsidR="000A357E" w:rsidRPr="000A357E">
        <w:rPr>
          <w:rFonts w:eastAsia="Andale Sans UI"/>
          <w:kern w:val="1"/>
          <w:sz w:val="26"/>
          <w:szCs w:val="26"/>
          <w:lang w:eastAsia="ar-SA"/>
        </w:rPr>
        <w:t>30</w:t>
      </w:r>
      <w:r w:rsidRPr="000A357E">
        <w:rPr>
          <w:rFonts w:eastAsia="Andale Sans UI"/>
          <w:kern w:val="1"/>
          <w:sz w:val="26"/>
          <w:szCs w:val="26"/>
          <w:lang w:eastAsia="ar-SA"/>
        </w:rPr>
        <w:t xml:space="preserve"> </w:t>
      </w:r>
      <w:r w:rsidR="000A357E" w:rsidRPr="000A357E">
        <w:rPr>
          <w:rFonts w:eastAsia="Andale Sans UI"/>
          <w:kern w:val="1"/>
          <w:sz w:val="26"/>
          <w:szCs w:val="26"/>
          <w:lang w:eastAsia="ar-SA"/>
        </w:rPr>
        <w:t>ноября</w:t>
      </w:r>
      <w:r w:rsidRPr="000A357E">
        <w:rPr>
          <w:rFonts w:eastAsia="Andale Sans UI"/>
          <w:kern w:val="1"/>
          <w:sz w:val="26"/>
          <w:szCs w:val="26"/>
          <w:lang w:eastAsia="ar-SA"/>
        </w:rPr>
        <w:t xml:space="preserve"> 202</w:t>
      </w:r>
      <w:r w:rsidR="000A357E" w:rsidRPr="000A357E">
        <w:rPr>
          <w:rFonts w:eastAsia="Andale Sans UI"/>
          <w:kern w:val="1"/>
          <w:sz w:val="26"/>
          <w:szCs w:val="26"/>
          <w:lang w:eastAsia="ar-SA"/>
        </w:rPr>
        <w:t>1</w:t>
      </w:r>
      <w:r w:rsidRPr="000A357E">
        <w:rPr>
          <w:rFonts w:eastAsia="Andale Sans UI"/>
          <w:kern w:val="1"/>
          <w:sz w:val="26"/>
          <w:szCs w:val="26"/>
          <w:lang w:eastAsia="ar-SA"/>
        </w:rPr>
        <w:t xml:space="preserve"> года. </w:t>
      </w:r>
    </w:p>
    <w:p w:rsidR="00D7115C" w:rsidRPr="000A357E" w:rsidRDefault="00D7115C" w:rsidP="009A4C9B">
      <w:pPr>
        <w:spacing w:after="160" w:line="259" w:lineRule="auto"/>
        <w:jc w:val="both"/>
        <w:rPr>
          <w:rFonts w:eastAsia="Andale Sans UI"/>
          <w:kern w:val="1"/>
          <w:sz w:val="26"/>
          <w:szCs w:val="26"/>
          <w:lang w:eastAsia="ar-SA"/>
        </w:rPr>
      </w:pPr>
      <w:bookmarkStart w:id="0" w:name="_GoBack"/>
      <w:bookmarkEnd w:id="0"/>
      <w:r w:rsidRPr="000A357E">
        <w:rPr>
          <w:b/>
          <w:sz w:val="26"/>
          <w:szCs w:val="26"/>
        </w:rPr>
        <w:t>Наименование, характеристики и количество поставляемых товаров</w:t>
      </w:r>
      <w:r w:rsidRPr="000A357E">
        <w:rPr>
          <w:sz w:val="26"/>
          <w:szCs w:val="26"/>
        </w:rPr>
        <w:t>, объем выполняемых работ, оказываемых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7"/>
        <w:gridCol w:w="4400"/>
        <w:gridCol w:w="1843"/>
        <w:gridCol w:w="850"/>
        <w:gridCol w:w="844"/>
      </w:tblGrid>
      <w:tr w:rsidR="00D865A8" w:rsidRPr="009C7B79" w:rsidTr="00585EDA">
        <w:trPr>
          <w:cantSplit/>
          <w:trHeight w:val="345"/>
        </w:trPr>
        <w:tc>
          <w:tcPr>
            <w:tcW w:w="265" w:type="pct"/>
            <w:vMerge w:val="restart"/>
            <w:vAlign w:val="center"/>
          </w:tcPr>
          <w:p w:rsidR="00D865A8" w:rsidRPr="009C7B79" w:rsidRDefault="00D865A8" w:rsidP="00D865A8">
            <w:pPr>
              <w:widowControl w:val="0"/>
              <w:jc w:val="center"/>
              <w:rPr>
                <w:rFonts w:eastAsia="Lucida Sans Unicode" w:cs="Tahoma"/>
                <w:color w:val="000000"/>
                <w:kern w:val="1"/>
                <w:lang w:val="en-US" w:eastAsia="en-US" w:bidi="en-US"/>
              </w:rPr>
            </w:pPr>
            <w:r w:rsidRPr="009C7B79">
              <w:rPr>
                <w:rFonts w:eastAsia="Lucida Sans Unicode" w:cs="Tahoma"/>
                <w:color w:val="000000"/>
                <w:kern w:val="1"/>
                <w:lang w:val="en-US" w:eastAsia="en-US" w:bidi="en-US"/>
              </w:rPr>
              <w:t>№</w:t>
            </w:r>
          </w:p>
          <w:p w:rsidR="00D865A8" w:rsidRPr="009C7B79" w:rsidRDefault="00D865A8" w:rsidP="00D865A8">
            <w:pPr>
              <w:widowControl w:val="0"/>
              <w:jc w:val="center"/>
              <w:rPr>
                <w:rFonts w:eastAsia="Lucida Sans Unicode" w:cs="Tahoma"/>
                <w:color w:val="000000"/>
                <w:kern w:val="1"/>
                <w:lang w:val="en-US" w:eastAsia="en-US" w:bidi="en-US"/>
              </w:rPr>
            </w:pPr>
            <w:r w:rsidRPr="009C7B79">
              <w:rPr>
                <w:rFonts w:eastAsia="Lucida Sans Unicode" w:cs="Tahoma"/>
                <w:color w:val="000000"/>
                <w:kern w:val="1"/>
                <w:lang w:val="en-US" w:eastAsia="en-US" w:bidi="en-US"/>
              </w:rPr>
              <w:t>п/п</w:t>
            </w:r>
          </w:p>
        </w:tc>
        <w:tc>
          <w:tcPr>
            <w:tcW w:w="842" w:type="pct"/>
            <w:vMerge w:val="restart"/>
            <w:vAlign w:val="center"/>
          </w:tcPr>
          <w:p w:rsidR="00D865A8" w:rsidRPr="009C7B79" w:rsidRDefault="00D865A8" w:rsidP="00D865A8">
            <w:pPr>
              <w:widowControl w:val="0"/>
              <w:jc w:val="center"/>
              <w:rPr>
                <w:rFonts w:eastAsia="Lucida Sans Unicode" w:cs="Tahoma"/>
                <w:color w:val="000000"/>
                <w:kern w:val="1"/>
                <w:lang w:val="en-US" w:eastAsia="en-US" w:bidi="en-US"/>
              </w:rPr>
            </w:pPr>
            <w:proofErr w:type="spellStart"/>
            <w:r w:rsidRPr="009C7B79">
              <w:rPr>
                <w:rFonts w:eastAsia="Lucida Sans Unicode" w:cs="Tahoma"/>
                <w:color w:val="000000"/>
                <w:kern w:val="1"/>
                <w:lang w:val="en-US" w:eastAsia="en-US" w:bidi="en-US"/>
              </w:rPr>
              <w:t>Наименование</w:t>
            </w:r>
            <w:proofErr w:type="spellEnd"/>
            <w:r w:rsidRPr="009C7B79">
              <w:rPr>
                <w:rFonts w:eastAsia="Lucida Sans Unicode" w:cs="Tahoma"/>
                <w:color w:val="000000"/>
                <w:kern w:val="1"/>
                <w:lang w:val="en-US" w:eastAsia="en-US" w:bidi="en-US"/>
              </w:rPr>
              <w:t xml:space="preserve"> </w:t>
            </w:r>
          </w:p>
        </w:tc>
        <w:tc>
          <w:tcPr>
            <w:tcW w:w="3062" w:type="pct"/>
            <w:gridSpan w:val="2"/>
          </w:tcPr>
          <w:p w:rsidR="00D865A8" w:rsidRPr="009C7B79" w:rsidRDefault="00D865A8" w:rsidP="00D865A8">
            <w:pPr>
              <w:widowControl w:val="0"/>
              <w:autoSpaceDE w:val="0"/>
              <w:autoSpaceDN w:val="0"/>
              <w:adjustRightInd w:val="0"/>
              <w:jc w:val="center"/>
              <w:rPr>
                <w:rFonts w:eastAsia="Andale Sans UI"/>
                <w:kern w:val="1"/>
              </w:rPr>
            </w:pPr>
            <w:r w:rsidRPr="009C7B79">
              <w:t>Описание (характеристики) объекта закупки</w:t>
            </w:r>
            <w:r w:rsidRPr="009C7B79">
              <w:rPr>
                <w:vertAlign w:val="superscript"/>
              </w:rPr>
              <w:footnoteReference w:id="1"/>
            </w:r>
          </w:p>
        </w:tc>
        <w:tc>
          <w:tcPr>
            <w:tcW w:w="417" w:type="pct"/>
            <w:vMerge w:val="restart"/>
            <w:vAlign w:val="center"/>
          </w:tcPr>
          <w:p w:rsidR="00D865A8" w:rsidRPr="00A05833" w:rsidRDefault="00D865A8" w:rsidP="00D865A8">
            <w:pPr>
              <w:autoSpaceDE w:val="0"/>
              <w:autoSpaceDN w:val="0"/>
              <w:adjustRightInd w:val="0"/>
              <w:ind w:firstLine="77"/>
              <w:jc w:val="center"/>
              <w:rPr>
                <w:sz w:val="26"/>
                <w:szCs w:val="26"/>
              </w:rPr>
            </w:pPr>
            <w:r w:rsidRPr="00A05833">
              <w:rPr>
                <w:sz w:val="26"/>
                <w:szCs w:val="26"/>
              </w:rPr>
              <w:t>Ед. изм.</w:t>
            </w:r>
          </w:p>
        </w:tc>
        <w:tc>
          <w:tcPr>
            <w:tcW w:w="414" w:type="pct"/>
            <w:vMerge w:val="restart"/>
            <w:vAlign w:val="center"/>
          </w:tcPr>
          <w:p w:rsidR="00D865A8" w:rsidRPr="008D5652" w:rsidRDefault="00D865A8" w:rsidP="00D865A8">
            <w:pPr>
              <w:autoSpaceDE w:val="0"/>
              <w:autoSpaceDN w:val="0"/>
              <w:adjustRightInd w:val="0"/>
              <w:ind w:firstLine="77"/>
              <w:jc w:val="center"/>
            </w:pPr>
            <w:r>
              <w:t>Кол-во</w:t>
            </w:r>
          </w:p>
        </w:tc>
      </w:tr>
      <w:tr w:rsidR="00D865A8" w:rsidRPr="009C7B79" w:rsidTr="00585EDA">
        <w:trPr>
          <w:cantSplit/>
          <w:trHeight w:val="1136"/>
        </w:trPr>
        <w:tc>
          <w:tcPr>
            <w:tcW w:w="265" w:type="pct"/>
            <w:vMerge/>
            <w:tcBorders>
              <w:bottom w:val="single" w:sz="4" w:space="0" w:color="auto"/>
            </w:tcBorders>
            <w:vAlign w:val="center"/>
          </w:tcPr>
          <w:p w:rsidR="00D865A8" w:rsidRPr="009C7B79" w:rsidRDefault="00D865A8" w:rsidP="00632791">
            <w:pPr>
              <w:widowControl w:val="0"/>
              <w:jc w:val="center"/>
              <w:rPr>
                <w:rFonts w:eastAsia="Andale Sans UI"/>
                <w:kern w:val="1"/>
              </w:rPr>
            </w:pPr>
          </w:p>
        </w:tc>
        <w:tc>
          <w:tcPr>
            <w:tcW w:w="842" w:type="pct"/>
            <w:vMerge/>
            <w:tcBorders>
              <w:bottom w:val="single" w:sz="4" w:space="0" w:color="auto"/>
            </w:tcBorders>
            <w:vAlign w:val="center"/>
          </w:tcPr>
          <w:p w:rsidR="00D865A8" w:rsidRPr="009C7B79" w:rsidRDefault="00D865A8" w:rsidP="00632791">
            <w:pPr>
              <w:widowControl w:val="0"/>
              <w:jc w:val="center"/>
              <w:rPr>
                <w:rFonts w:eastAsia="Andale Sans UI"/>
                <w:kern w:val="1"/>
              </w:rPr>
            </w:pPr>
          </w:p>
        </w:tc>
        <w:tc>
          <w:tcPr>
            <w:tcW w:w="2158" w:type="pct"/>
            <w:tcBorders>
              <w:bottom w:val="single" w:sz="4" w:space="0" w:color="auto"/>
            </w:tcBorders>
            <w:vAlign w:val="center"/>
          </w:tcPr>
          <w:p w:rsidR="00D865A8" w:rsidRPr="009C7B79" w:rsidRDefault="00D865A8" w:rsidP="00632791">
            <w:pPr>
              <w:jc w:val="center"/>
            </w:pPr>
            <w:r w:rsidRPr="009C7B79">
              <w:t>Наименование показателя</w:t>
            </w:r>
            <w:r w:rsidRPr="009C7B79">
              <w:rPr>
                <w:vertAlign w:val="superscript"/>
              </w:rPr>
              <w:t xml:space="preserve"> </w:t>
            </w:r>
            <w:r w:rsidRPr="009C7B79">
              <w:rPr>
                <w:vertAlign w:val="superscript"/>
              </w:rPr>
              <w:footnoteReference w:id="2"/>
            </w:r>
          </w:p>
          <w:p w:rsidR="00D865A8" w:rsidRPr="009C7B79" w:rsidRDefault="00D865A8" w:rsidP="00632791">
            <w:pPr>
              <w:jc w:val="center"/>
              <w:rPr>
                <w:color w:val="FF0000"/>
              </w:rPr>
            </w:pPr>
            <w:r w:rsidRPr="009C7B79">
              <w:rPr>
                <w:color w:val="FF0000"/>
              </w:rPr>
              <w:t>(неизменяемое)</w:t>
            </w:r>
          </w:p>
        </w:tc>
        <w:tc>
          <w:tcPr>
            <w:tcW w:w="904" w:type="pct"/>
            <w:tcBorders>
              <w:bottom w:val="single" w:sz="4" w:space="0" w:color="auto"/>
            </w:tcBorders>
            <w:vAlign w:val="center"/>
          </w:tcPr>
          <w:p w:rsidR="00D865A8" w:rsidRPr="009C7B79" w:rsidRDefault="00D865A8" w:rsidP="00632791">
            <w:pPr>
              <w:autoSpaceDE w:val="0"/>
              <w:autoSpaceDN w:val="0"/>
              <w:adjustRightInd w:val="0"/>
              <w:jc w:val="center"/>
            </w:pPr>
            <w:r w:rsidRPr="009C7B79">
              <w:t>Значения показателей, которые не могут изменяться</w:t>
            </w:r>
            <w:r w:rsidRPr="009C7B79">
              <w:rPr>
                <w:vertAlign w:val="superscript"/>
              </w:rPr>
              <w:footnoteReference w:id="3"/>
            </w:r>
          </w:p>
          <w:p w:rsidR="00D865A8" w:rsidRPr="009C7B79" w:rsidRDefault="00D865A8" w:rsidP="00632791">
            <w:pPr>
              <w:autoSpaceDE w:val="0"/>
              <w:autoSpaceDN w:val="0"/>
              <w:adjustRightInd w:val="0"/>
              <w:jc w:val="center"/>
              <w:rPr>
                <w:color w:val="FF0000"/>
              </w:rPr>
            </w:pPr>
            <w:r w:rsidRPr="009C7B79">
              <w:rPr>
                <w:color w:val="FF0000"/>
              </w:rPr>
              <w:t>(неизменяемое)</w:t>
            </w:r>
          </w:p>
        </w:tc>
        <w:tc>
          <w:tcPr>
            <w:tcW w:w="417" w:type="pct"/>
            <w:vMerge/>
            <w:tcBorders>
              <w:bottom w:val="single" w:sz="4" w:space="0" w:color="auto"/>
            </w:tcBorders>
          </w:tcPr>
          <w:p w:rsidR="00D865A8" w:rsidRPr="009C7B79" w:rsidRDefault="00D865A8" w:rsidP="00632791">
            <w:pPr>
              <w:autoSpaceDE w:val="0"/>
              <w:autoSpaceDN w:val="0"/>
              <w:adjustRightInd w:val="0"/>
              <w:jc w:val="center"/>
            </w:pPr>
          </w:p>
        </w:tc>
        <w:tc>
          <w:tcPr>
            <w:tcW w:w="414" w:type="pct"/>
            <w:vMerge/>
            <w:tcBorders>
              <w:bottom w:val="single" w:sz="4" w:space="0" w:color="auto"/>
            </w:tcBorders>
          </w:tcPr>
          <w:p w:rsidR="00D865A8" w:rsidRPr="009C7B79" w:rsidRDefault="00D865A8" w:rsidP="00632791">
            <w:pPr>
              <w:autoSpaceDE w:val="0"/>
              <w:autoSpaceDN w:val="0"/>
              <w:adjustRightInd w:val="0"/>
              <w:jc w:val="center"/>
            </w:pPr>
          </w:p>
        </w:tc>
      </w:tr>
      <w:tr w:rsidR="00A520C7" w:rsidRPr="00D865A8" w:rsidTr="00585EDA">
        <w:trPr>
          <w:cantSplit/>
          <w:trHeight w:val="211"/>
        </w:trPr>
        <w:tc>
          <w:tcPr>
            <w:tcW w:w="265" w:type="pct"/>
          </w:tcPr>
          <w:p w:rsidR="00A520C7" w:rsidRPr="00D865A8" w:rsidRDefault="00A520C7" w:rsidP="00A520C7">
            <w:pPr>
              <w:spacing w:after="60"/>
              <w:jc w:val="center"/>
              <w:rPr>
                <w:color w:val="000000"/>
                <w:sz w:val="22"/>
                <w:szCs w:val="22"/>
              </w:rPr>
            </w:pPr>
            <w:r w:rsidRPr="00D865A8">
              <w:rPr>
                <w:color w:val="000000"/>
                <w:sz w:val="22"/>
                <w:szCs w:val="22"/>
              </w:rPr>
              <w:t>1</w:t>
            </w:r>
          </w:p>
        </w:tc>
        <w:tc>
          <w:tcPr>
            <w:tcW w:w="842" w:type="pct"/>
          </w:tcPr>
          <w:p w:rsidR="00A520C7" w:rsidRPr="00B30DEB" w:rsidRDefault="00A520C7" w:rsidP="00A520C7">
            <w:pPr>
              <w:spacing w:after="60"/>
              <w:jc w:val="both"/>
            </w:pPr>
            <w:r w:rsidRPr="003C3F8B">
              <w:rPr>
                <w:lang w:eastAsia="ar-SA"/>
              </w:rPr>
              <w:t xml:space="preserve">Бюстгальтер для фиксации </w:t>
            </w:r>
            <w:proofErr w:type="spellStart"/>
            <w:r w:rsidRPr="003C3F8B">
              <w:rPr>
                <w:lang w:eastAsia="ar-SA"/>
              </w:rPr>
              <w:t>экзопротеза</w:t>
            </w:r>
            <w:proofErr w:type="spellEnd"/>
            <w:r w:rsidRPr="003C3F8B">
              <w:rPr>
                <w:lang w:eastAsia="ar-SA"/>
              </w:rPr>
              <w:t xml:space="preserve"> молочной железы</w:t>
            </w:r>
          </w:p>
        </w:tc>
        <w:tc>
          <w:tcPr>
            <w:tcW w:w="2158" w:type="pct"/>
          </w:tcPr>
          <w:p w:rsidR="00A520C7" w:rsidRPr="003C3F8B" w:rsidRDefault="00A520C7" w:rsidP="00A520C7">
            <w:pPr>
              <w:spacing w:after="60"/>
              <w:jc w:val="both"/>
              <w:rPr>
                <w:color w:val="000000"/>
              </w:rPr>
            </w:pPr>
            <w:r w:rsidRPr="00B30DEB">
              <w:rPr>
                <w:color w:val="000000"/>
              </w:rPr>
              <w:t xml:space="preserve"> </w:t>
            </w:r>
            <w:r w:rsidRPr="003C3F8B">
              <w:rPr>
                <w:color w:val="000000"/>
              </w:rPr>
              <w:t xml:space="preserve">Предназначен для фиксации </w:t>
            </w:r>
            <w:proofErr w:type="spellStart"/>
            <w:r w:rsidRPr="003C3F8B">
              <w:rPr>
                <w:color w:val="000000"/>
              </w:rPr>
              <w:t>экзопротеза</w:t>
            </w:r>
            <w:proofErr w:type="spellEnd"/>
            <w:r w:rsidRPr="003C3F8B">
              <w:rPr>
                <w:color w:val="000000"/>
              </w:rPr>
              <w:t xml:space="preserve"> молочной железы после </w:t>
            </w:r>
            <w:proofErr w:type="spellStart"/>
            <w:r w:rsidRPr="003C3F8B">
              <w:rPr>
                <w:color w:val="000000"/>
              </w:rPr>
              <w:t>мастэктомии</w:t>
            </w:r>
            <w:proofErr w:type="spellEnd"/>
            <w:r w:rsidRPr="003C3F8B">
              <w:rPr>
                <w:color w:val="000000"/>
              </w:rPr>
              <w:t>.</w:t>
            </w:r>
          </w:p>
          <w:p w:rsidR="00A520C7" w:rsidRPr="003C3F8B" w:rsidRDefault="00A520C7" w:rsidP="00A520C7">
            <w:pPr>
              <w:spacing w:after="60"/>
              <w:jc w:val="both"/>
              <w:rPr>
                <w:color w:val="000000"/>
              </w:rPr>
            </w:pPr>
            <w:r w:rsidRPr="003C3F8B">
              <w:rPr>
                <w:color w:val="000000"/>
              </w:rPr>
              <w:t xml:space="preserve">- Материал трикотажное эластичное </w:t>
            </w:r>
            <w:proofErr w:type="spellStart"/>
            <w:r w:rsidRPr="003C3F8B">
              <w:rPr>
                <w:color w:val="000000"/>
              </w:rPr>
              <w:t>гипоаллергенное</w:t>
            </w:r>
            <w:proofErr w:type="spellEnd"/>
            <w:r w:rsidRPr="003C3F8B">
              <w:rPr>
                <w:color w:val="000000"/>
              </w:rPr>
              <w:t xml:space="preserve"> полотно;</w:t>
            </w:r>
          </w:p>
          <w:p w:rsidR="00A520C7" w:rsidRPr="003C3F8B" w:rsidRDefault="00A520C7" w:rsidP="00A520C7">
            <w:pPr>
              <w:spacing w:after="60"/>
              <w:jc w:val="both"/>
              <w:rPr>
                <w:color w:val="000000"/>
              </w:rPr>
            </w:pPr>
            <w:r w:rsidRPr="003C3F8B">
              <w:rPr>
                <w:color w:val="000000"/>
              </w:rPr>
              <w:t>- широкие эластичные бретели, равномерно распределяющие вес по плечевой зоне, снабженные регуляторами длины;</w:t>
            </w:r>
          </w:p>
          <w:p w:rsidR="00A520C7" w:rsidRPr="003C3F8B" w:rsidRDefault="00A520C7" w:rsidP="00A520C7">
            <w:pPr>
              <w:spacing w:after="60"/>
              <w:jc w:val="both"/>
              <w:rPr>
                <w:color w:val="000000"/>
              </w:rPr>
            </w:pPr>
            <w:r w:rsidRPr="003C3F8B">
              <w:rPr>
                <w:color w:val="000000"/>
              </w:rPr>
              <w:t xml:space="preserve">- в чашках карман для размещения </w:t>
            </w:r>
            <w:proofErr w:type="spellStart"/>
            <w:r w:rsidRPr="003C3F8B">
              <w:rPr>
                <w:color w:val="000000"/>
              </w:rPr>
              <w:t>экзопротеза</w:t>
            </w:r>
            <w:proofErr w:type="spellEnd"/>
            <w:r w:rsidRPr="003C3F8B">
              <w:rPr>
                <w:color w:val="000000"/>
              </w:rPr>
              <w:t xml:space="preserve"> молочной железы;</w:t>
            </w:r>
          </w:p>
          <w:p w:rsidR="00A520C7" w:rsidRPr="003C3F8B" w:rsidRDefault="00A520C7" w:rsidP="00A520C7">
            <w:pPr>
              <w:spacing w:after="60"/>
              <w:jc w:val="both"/>
              <w:rPr>
                <w:color w:val="000000"/>
              </w:rPr>
            </w:pPr>
            <w:r w:rsidRPr="003C3F8B">
              <w:rPr>
                <w:color w:val="000000"/>
              </w:rPr>
              <w:t xml:space="preserve"> - обеспечивает полное закрытие </w:t>
            </w:r>
            <w:proofErr w:type="spellStart"/>
            <w:r w:rsidRPr="003C3F8B">
              <w:rPr>
                <w:color w:val="000000"/>
              </w:rPr>
              <w:t>постмастэктомических</w:t>
            </w:r>
            <w:proofErr w:type="spellEnd"/>
            <w:r w:rsidRPr="003C3F8B">
              <w:rPr>
                <w:color w:val="000000"/>
              </w:rPr>
              <w:t xml:space="preserve"> дефектов, плотное прилегание к телу;</w:t>
            </w:r>
          </w:p>
          <w:p w:rsidR="00A520C7" w:rsidRPr="00B30DEB" w:rsidRDefault="00A520C7" w:rsidP="00A520C7">
            <w:pPr>
              <w:spacing w:after="60"/>
              <w:jc w:val="both"/>
              <w:rPr>
                <w:color w:val="000000"/>
              </w:rPr>
            </w:pPr>
            <w:r w:rsidRPr="003C3F8B">
              <w:rPr>
                <w:color w:val="000000"/>
              </w:rPr>
              <w:t>- застежки на спине;</w:t>
            </w:r>
          </w:p>
        </w:tc>
        <w:tc>
          <w:tcPr>
            <w:tcW w:w="904" w:type="pct"/>
          </w:tcPr>
          <w:p w:rsidR="00A520C7" w:rsidRPr="00B30DEB" w:rsidRDefault="00A520C7" w:rsidP="00A520C7">
            <w:pPr>
              <w:spacing w:after="60"/>
              <w:jc w:val="center"/>
            </w:pPr>
            <w:r w:rsidRPr="00B30DEB">
              <w:t>Соответствует</w:t>
            </w:r>
          </w:p>
        </w:tc>
        <w:tc>
          <w:tcPr>
            <w:tcW w:w="417" w:type="pct"/>
          </w:tcPr>
          <w:p w:rsidR="00A520C7" w:rsidRPr="00B30DEB" w:rsidRDefault="00A520C7" w:rsidP="00A520C7">
            <w:pPr>
              <w:spacing w:after="60"/>
              <w:jc w:val="center"/>
            </w:pPr>
            <w:r w:rsidRPr="00B30DEB">
              <w:t>штук</w:t>
            </w:r>
          </w:p>
        </w:tc>
        <w:tc>
          <w:tcPr>
            <w:tcW w:w="414" w:type="pct"/>
          </w:tcPr>
          <w:p w:rsidR="00A520C7" w:rsidRPr="00B30DEB" w:rsidRDefault="00A520C7" w:rsidP="00A520C7">
            <w:pPr>
              <w:spacing w:after="60"/>
              <w:jc w:val="center"/>
              <w:rPr>
                <w:color w:val="000000"/>
              </w:rPr>
            </w:pPr>
            <w:r>
              <w:rPr>
                <w:color w:val="000000"/>
              </w:rPr>
              <w:t>1060</w:t>
            </w:r>
          </w:p>
        </w:tc>
      </w:tr>
    </w:tbl>
    <w:p w:rsidR="00D7115C" w:rsidRDefault="00D7115C" w:rsidP="00D7115C">
      <w:pPr>
        <w:tabs>
          <w:tab w:val="left" w:pos="708"/>
        </w:tabs>
        <w:snapToGrid w:val="0"/>
        <w:ind w:firstLine="709"/>
        <w:jc w:val="both"/>
        <w:rPr>
          <w:rFonts w:eastAsia="Lucida Sans Unicode"/>
          <w:color w:val="00000A"/>
          <w:lang w:eastAsia="zh-CN"/>
        </w:rPr>
      </w:pPr>
    </w:p>
    <w:p w:rsidR="00D7115C" w:rsidRDefault="00D7115C" w:rsidP="00D7115C">
      <w:pPr>
        <w:tabs>
          <w:tab w:val="left" w:pos="708"/>
        </w:tabs>
        <w:snapToGrid w:val="0"/>
        <w:ind w:firstLine="709"/>
        <w:jc w:val="both"/>
        <w:rPr>
          <w:rFonts w:eastAsia="Lucida Sans Unicode"/>
          <w:color w:val="00000A"/>
          <w:lang w:eastAsia="zh-CN"/>
        </w:rPr>
      </w:pPr>
    </w:p>
    <w:p w:rsidR="00126DEB" w:rsidRDefault="00126DEB"/>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B9E" w:rsidRDefault="00B45B9E" w:rsidP="00D7115C">
      <w:r>
        <w:separator/>
      </w:r>
    </w:p>
  </w:endnote>
  <w:endnote w:type="continuationSeparator" w:id="0">
    <w:p w:rsidR="00B45B9E" w:rsidRDefault="00B45B9E"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B9E" w:rsidRDefault="00B45B9E" w:rsidP="00D7115C">
      <w:r>
        <w:separator/>
      </w:r>
    </w:p>
  </w:footnote>
  <w:footnote w:type="continuationSeparator" w:id="0">
    <w:p w:rsidR="00B45B9E" w:rsidRDefault="00B45B9E" w:rsidP="00D7115C">
      <w:r>
        <w:continuationSeparator/>
      </w:r>
    </w:p>
  </w:footnote>
  <w:footnote w:id="1">
    <w:p w:rsidR="00D865A8" w:rsidRDefault="00D865A8" w:rsidP="009A4C9B">
      <w:pPr>
        <w:pStyle w:val="a3"/>
      </w:pPr>
      <w:r>
        <w:rPr>
          <w:vertAlign w:val="superscript"/>
        </w:rPr>
        <w:t xml:space="preserve">1 </w:t>
      </w:r>
      <w:r>
        <w:t>Выделенные курсивом параметры являются изменяемыми, при подачи коммерческого предложения необходимо указать конкретные показатели.</w:t>
      </w:r>
    </w:p>
  </w:footnote>
  <w:footnote w:id="2">
    <w:p w:rsidR="00D865A8" w:rsidRDefault="00D865A8" w:rsidP="009A4C9B">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D865A8" w:rsidRPr="00985908" w:rsidRDefault="00D865A8" w:rsidP="009A4C9B">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A357E"/>
    <w:rsid w:val="000A37D4"/>
    <w:rsid w:val="000D3DE0"/>
    <w:rsid w:val="00126DEB"/>
    <w:rsid w:val="001A1B23"/>
    <w:rsid w:val="003210F2"/>
    <w:rsid w:val="003D486E"/>
    <w:rsid w:val="004667AA"/>
    <w:rsid w:val="004D497F"/>
    <w:rsid w:val="004F2140"/>
    <w:rsid w:val="00585EDA"/>
    <w:rsid w:val="005935A0"/>
    <w:rsid w:val="007214BD"/>
    <w:rsid w:val="007C105E"/>
    <w:rsid w:val="00852E8C"/>
    <w:rsid w:val="008A35F0"/>
    <w:rsid w:val="009226AD"/>
    <w:rsid w:val="009A4C9B"/>
    <w:rsid w:val="00A520C7"/>
    <w:rsid w:val="00AC04AF"/>
    <w:rsid w:val="00B201AE"/>
    <w:rsid w:val="00B45B9E"/>
    <w:rsid w:val="00BB7977"/>
    <w:rsid w:val="00CB0C96"/>
    <w:rsid w:val="00D01082"/>
    <w:rsid w:val="00D7115C"/>
    <w:rsid w:val="00D865A8"/>
    <w:rsid w:val="00DC4D5C"/>
    <w:rsid w:val="00E35808"/>
    <w:rsid w:val="00F34F37"/>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D7115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19</cp:revision>
  <dcterms:created xsi:type="dcterms:W3CDTF">2020-08-12T05:43:00Z</dcterms:created>
  <dcterms:modified xsi:type="dcterms:W3CDTF">2020-12-02T07:09:00Z</dcterms:modified>
</cp:coreProperties>
</file>