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C6" w:rsidRPr="000033C6" w:rsidRDefault="000033C6" w:rsidP="000033C6">
      <w:pPr>
        <w:widowControl w:val="0"/>
        <w:tabs>
          <w:tab w:val="left" w:pos="851"/>
        </w:tabs>
        <w:suppressAutoHyphens/>
        <w:autoSpaceDE w:val="0"/>
        <w:spacing w:after="0" w:line="276" w:lineRule="auto"/>
        <w:ind w:firstLine="426"/>
        <w:jc w:val="center"/>
        <w:rPr>
          <w:rFonts w:ascii="Times New Roman CYR" w:eastAsia="Times New Roman CYR" w:hAnsi="Times New Roman CYR" w:cs="Times New Roman CYR"/>
          <w:b/>
          <w:sz w:val="28"/>
          <w:szCs w:val="20"/>
          <w:lang w:eastAsia="ru-RU" w:bidi="ru-RU"/>
        </w:rPr>
      </w:pPr>
      <w:r w:rsidRPr="000033C6">
        <w:rPr>
          <w:rFonts w:ascii="Times New Roman CYR" w:eastAsia="Times New Roman CYR" w:hAnsi="Times New Roman CYR" w:cs="Times New Roman CYR"/>
          <w:b/>
          <w:sz w:val="28"/>
          <w:szCs w:val="20"/>
          <w:lang w:eastAsia="ru-RU" w:bidi="ru-RU"/>
        </w:rPr>
        <w:t>Техническое задание</w:t>
      </w:r>
    </w:p>
    <w:p w:rsidR="000033C6" w:rsidRPr="000033C6" w:rsidRDefault="000033C6" w:rsidP="000033C6">
      <w:pPr>
        <w:widowControl w:val="0"/>
        <w:tabs>
          <w:tab w:val="left" w:pos="0"/>
          <w:tab w:val="left" w:pos="851"/>
        </w:tabs>
        <w:spacing w:after="0" w:line="22" w:lineRule="atLeast"/>
        <w:ind w:firstLine="567"/>
        <w:jc w:val="center"/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0033C6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/>
        </w:rPr>
        <w:t xml:space="preserve">ИКЗ: </w:t>
      </w:r>
      <w:r w:rsidR="006F4693" w:rsidRPr="006F4693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/>
        </w:rPr>
        <w:t>21-11326024721132601001-0024-</w:t>
      </w:r>
      <w:r w:rsidR="006F4693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/>
        </w:rPr>
        <w:t>002</w:t>
      </w:r>
      <w:bookmarkStart w:id="0" w:name="_GoBack"/>
      <w:bookmarkEnd w:id="0"/>
      <w:r w:rsidR="006F4693" w:rsidRPr="006F4693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/>
        </w:rPr>
        <w:t>-3250-323</w:t>
      </w:r>
    </w:p>
    <w:p w:rsidR="000033C6" w:rsidRPr="000033C6" w:rsidRDefault="000033C6" w:rsidP="000033C6">
      <w:pPr>
        <w:widowControl w:val="0"/>
        <w:tabs>
          <w:tab w:val="left" w:pos="0"/>
          <w:tab w:val="left" w:pos="851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0033C6" w:rsidRPr="000033C6" w:rsidRDefault="000033C6" w:rsidP="000033C6">
      <w:pPr>
        <w:widowControl w:val="0"/>
        <w:tabs>
          <w:tab w:val="left" w:pos="0"/>
          <w:tab w:val="left" w:pos="851"/>
        </w:tabs>
        <w:spacing w:after="0" w:line="22" w:lineRule="atLeast"/>
        <w:ind w:firstLine="426"/>
        <w:jc w:val="center"/>
        <w:rPr>
          <w:rFonts w:ascii="Times New Roman" w:eastAsia="Verdana" w:hAnsi="Times New Roman" w:cs="Times New Roman"/>
          <w:b/>
          <w:bCs/>
          <w:kern w:val="2"/>
          <w:sz w:val="28"/>
          <w:szCs w:val="28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обеспечению в 2021 году протезами нижних конечностей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0033C6">
        <w:rPr>
          <w:rFonts w:ascii="Times New Roman" w:eastAsia="Verdana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right="38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right="3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right="3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right="3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widowControl w:val="0"/>
        <w:tabs>
          <w:tab w:val="left" w:pos="0"/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лица, получившего повреждение здоровья вследствие несчастного случая на производстве (далее – Получатель) протезами нижних конечностей должны содержать комплекс медицинских, </w:t>
      </w:r>
      <w:proofErr w:type="gramStart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социальных мероприятий</w:t>
      </w:r>
      <w:proofErr w:type="gramEnd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Получателем,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0033C6" w:rsidRPr="000033C6" w:rsidRDefault="000033C6" w:rsidP="000033C6">
      <w:pPr>
        <w:widowControl w:val="0"/>
        <w:tabs>
          <w:tab w:val="left" w:pos="0"/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Получателя с помощью протезов конечностей.</w:t>
      </w:r>
    </w:p>
    <w:p w:rsidR="000033C6" w:rsidRPr="000033C6" w:rsidRDefault="000033C6" w:rsidP="000033C6">
      <w:pPr>
        <w:keepNext/>
        <w:tabs>
          <w:tab w:val="left" w:pos="0"/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Получателя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0033C6" w:rsidRPr="000033C6" w:rsidRDefault="000033C6" w:rsidP="000033C6">
      <w:pPr>
        <w:keepNext/>
        <w:tabs>
          <w:tab w:val="left" w:pos="0"/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определения» </w:t>
      </w:r>
      <w:r w:rsidRPr="000033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соответствующим Техническим условиям, утвержденным в установленном порядке.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соприкасающиеся с телом потребителя, должны обладать </w:t>
      </w:r>
      <w:proofErr w:type="spellStart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биосовместимостью</w:t>
      </w:r>
      <w:proofErr w:type="spellEnd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покровом человека, не вызывать </w:t>
      </w:r>
      <w:proofErr w:type="spellStart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токсилогических</w:t>
      </w:r>
      <w:proofErr w:type="spellEnd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аллергических реакций в соответствии с </w:t>
      </w:r>
      <w:r w:rsidRPr="000033C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ГОСТ ISO 10993-1-2011 «Изделия медицинские. Оценка биологического действия медицинских изделий» Часть 1,5,10, </w:t>
      </w:r>
      <w:r w:rsidRPr="0000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00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ортезы</w:t>
      </w:r>
      <w:proofErr w:type="spellEnd"/>
      <w:r w:rsidRPr="0000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наружные. Требования и методы испытаний»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инвалидов.</w:t>
      </w:r>
    </w:p>
    <w:p w:rsidR="000033C6" w:rsidRPr="000033C6" w:rsidRDefault="000033C6" w:rsidP="000033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маркировке, упаковке, хранению и отгрузке.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033C6" w:rsidRPr="000033C6" w:rsidRDefault="000033C6" w:rsidP="000033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Требования к безопасности.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ортезирование</w:t>
      </w:r>
      <w:proofErr w:type="spellEnd"/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0033C6" w:rsidRPr="000033C6" w:rsidRDefault="000033C6" w:rsidP="00003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Протезы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0033C6" w:rsidRPr="000033C6" w:rsidRDefault="000033C6" w:rsidP="000033C6">
      <w:pPr>
        <w:keepLines/>
        <w:widowControl w:val="0"/>
        <w:tabs>
          <w:tab w:val="left" w:pos="851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Упаковка протезов должна обеспечивать защиту от повреждений, порчи (изнашивания), загрязнения во время хранения и транспортировки к месту использования по назначению.</w:t>
      </w:r>
    </w:p>
    <w:p w:rsidR="000033C6" w:rsidRPr="000033C6" w:rsidRDefault="000033C6" w:rsidP="000033C6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 w:bidi="en-US"/>
        </w:rPr>
      </w:pPr>
      <w:r w:rsidRPr="000033C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0033C6" w:rsidRPr="000033C6" w:rsidRDefault="000033C6" w:rsidP="000033C6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0033C6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 w:bidi="en-US"/>
        </w:rPr>
        <w:t>Р</w:t>
      </w:r>
      <w:r w:rsidRPr="000033C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езультаты работ, выполненных в соответствии с условиями настоящего Контракта, должны быть надлежащего качества, не иметь дефектов, связанных с разработкой, материалами (качеством изготовления, либо проявляющихся в результате действия (упущения) при нормальном использовании в обычных условиях эксплуатации.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обеспечению Получателя протезами нижних конечностей должно осуществляться при наличии: 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Декларации о соответствии на протезно-ортопедические изделия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Регистрационных удостоверений</w:t>
      </w:r>
      <w:r w:rsidRPr="000033C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их наличии) 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Сертификатов соответствия на протезно-ортопедические изделия (при их наличии).</w:t>
      </w:r>
    </w:p>
    <w:p w:rsidR="000033C6" w:rsidRPr="000033C6" w:rsidRDefault="000033C6" w:rsidP="000033C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03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 осуществляет выполнение комплекса работ по изготовлению протезов нижних конечностей  при наличии соответствующей медицинской лицензии по профилю: организации здравоохранения и общественному здоровью, травматологии и ортопедии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привлечении соисполнителя, имеющего указанную лицензию)</w:t>
      </w:r>
      <w:r w:rsidRPr="00003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согласно Перечню работ (услуг), составляющих медицинскую деятельность, утвержденному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№ 291 от 16.04.2012 «О лицензировании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3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."</w:t>
      </w: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33C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Копия лицензии должна предоставляться Заказчику вместе с договором (доверенностью) о </w:t>
      </w:r>
      <w:proofErr w:type="spellStart"/>
      <w:r w:rsidRPr="000033C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соисполнительстве</w:t>
      </w:r>
      <w:proofErr w:type="spellEnd"/>
      <w:r w:rsidRPr="000033C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.</w:t>
      </w:r>
    </w:p>
    <w:p w:rsidR="000033C6" w:rsidRPr="000033C6" w:rsidRDefault="000033C6" w:rsidP="000033C6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работ.</w:t>
      </w:r>
    </w:p>
    <w:p w:rsidR="000033C6" w:rsidRPr="000033C6" w:rsidRDefault="000033C6" w:rsidP="000033C6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0033C6" w:rsidRPr="000033C6" w:rsidRDefault="000033C6" w:rsidP="000033C6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сроки (периоды) выполнения работ</w:t>
      </w:r>
    </w:p>
    <w:p w:rsidR="000033C6" w:rsidRPr="000033C6" w:rsidRDefault="000033C6" w:rsidP="000033C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</w:pPr>
      <w:r w:rsidRPr="000033C6"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  <w:t xml:space="preserve">Предоставить Получателям право выбора способа получения Изделий (по месту протезирования, 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0033C6" w:rsidRPr="000033C6" w:rsidRDefault="000033C6" w:rsidP="0000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работ: Выполнение работ по обеспечению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0033C6" w:rsidRPr="000033C6" w:rsidRDefault="000033C6" w:rsidP="0000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обязательства по выполнению работ и обеспечению Получателей до 15 декабря 2021 года.</w:t>
      </w:r>
    </w:p>
    <w:p w:rsidR="000033C6" w:rsidRPr="000033C6" w:rsidRDefault="000033C6" w:rsidP="0000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гарантийному сроку и (или) объему предоставления </w:t>
      </w:r>
    </w:p>
    <w:p w:rsidR="000033C6" w:rsidRPr="000033C6" w:rsidRDefault="000033C6" w:rsidP="0000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 качества изделий</w:t>
      </w:r>
    </w:p>
    <w:p w:rsidR="000033C6" w:rsidRPr="000033C6" w:rsidRDefault="000033C6" w:rsidP="0000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устанавливается со дня выдачи готового изделия в эксплуатацию:</w:t>
      </w:r>
    </w:p>
    <w:p w:rsidR="000033C6" w:rsidRPr="000033C6" w:rsidRDefault="000033C6" w:rsidP="0000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-протезы модульного типа – 12 (Двенадцать) месяцев,</w:t>
      </w:r>
    </w:p>
    <w:p w:rsidR="000033C6" w:rsidRPr="000033C6" w:rsidRDefault="000033C6" w:rsidP="0000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0033C6" w:rsidRPr="000033C6" w:rsidRDefault="000033C6" w:rsidP="0000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протезно-ортопедическое изделие должен соответствовать ТУ.</w:t>
      </w:r>
    </w:p>
    <w:p w:rsidR="000033C6" w:rsidRPr="000033C6" w:rsidRDefault="000033C6" w:rsidP="000033C6">
      <w:pPr>
        <w:keepNext/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 работ</w:t>
      </w:r>
    </w:p>
    <w:p w:rsidR="000033C6" w:rsidRPr="000033C6" w:rsidRDefault="000033C6" w:rsidP="000033C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14 (четырнадцати) рабочих дней с даты получения Заказчиком счета и надлежащим образом оформленных отчетных и финансовых документов.</w:t>
      </w:r>
    </w:p>
    <w:p w:rsidR="000033C6" w:rsidRPr="000033C6" w:rsidRDefault="000033C6" w:rsidP="000033C6">
      <w:pPr>
        <w:tabs>
          <w:tab w:val="left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формирования цены контракта</w:t>
      </w:r>
    </w:p>
    <w:p w:rsidR="000033C6" w:rsidRPr="000033C6" w:rsidRDefault="000033C6" w:rsidP="000033C6">
      <w:pPr>
        <w:keepNext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включает все </w:t>
      </w:r>
      <w:r w:rsidRPr="000033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расходы по 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представляет описание выполняемых работ, их количественные и качественные характеристики по форме (Таблица №1 Приложение №1), приведенной в документации.</w:t>
      </w:r>
    </w:p>
    <w:p w:rsidR="000033C6" w:rsidRPr="000033C6" w:rsidRDefault="000033C6" w:rsidP="000033C6">
      <w:pPr>
        <w:keepNext/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C6" w:rsidRPr="000033C6" w:rsidRDefault="000033C6" w:rsidP="000033C6">
      <w:pPr>
        <w:tabs>
          <w:tab w:val="left" w:pos="142"/>
          <w:tab w:val="left" w:pos="851"/>
        </w:tabs>
        <w:suppressAutoHyphens/>
        <w:spacing w:after="0" w:line="276" w:lineRule="auto"/>
        <w:ind w:firstLine="42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Общее количество выполняемых работ</w:t>
      </w:r>
      <w:r w:rsidRPr="000033C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– 37 (тридцать семь) штук.</w:t>
      </w:r>
    </w:p>
    <w:p w:rsidR="000033C6" w:rsidRPr="000033C6" w:rsidRDefault="000033C6" w:rsidP="000033C6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Наименование Товара,</w:t>
      </w: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и функциональные характеристики, количество и цена указаны в Таблице № 1.</w:t>
      </w:r>
    </w:p>
    <w:p w:rsidR="000033C6" w:rsidRPr="000033C6" w:rsidRDefault="000033C6" w:rsidP="000033C6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33C6" w:rsidRPr="000033C6" w:rsidRDefault="000033C6" w:rsidP="0000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</w:t>
      </w: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985"/>
        <w:gridCol w:w="926"/>
        <w:gridCol w:w="1134"/>
        <w:gridCol w:w="1134"/>
        <w:gridCol w:w="824"/>
        <w:gridCol w:w="1315"/>
      </w:tblGrid>
      <w:tr w:rsidR="000033C6" w:rsidRPr="000033C6" w:rsidTr="009815F4">
        <w:trPr>
          <w:trHeight w:val="764"/>
        </w:trPr>
        <w:tc>
          <w:tcPr>
            <w:tcW w:w="1760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2985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функциональные характеристики изделий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гарантии 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работ, шт.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 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03.29.08.07.06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немодульный ш/к,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right" w:leader="dot" w:pos="10435"/>
              </w:tabs>
              <w:suppressAutoHyphens/>
              <w:spacing w:after="120" w:line="200" w:lineRule="atLeast"/>
              <w:ind w:left="-18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Не менее 12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right="-1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28815,00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28815,00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 2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03.29.08.07.06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немодульный ш/к, со стальными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-40" w:right="-108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Не менее 12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ind w:right="-108" w:hanging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240" w:hanging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24278,00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24278,00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 3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03.29.08.07.06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-182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Не менее 12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ind w:right="-108" w:hanging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240"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35902,00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widowControl w:val="0"/>
              <w:tabs>
                <w:tab w:val="left" w:pos="840"/>
                <w:tab w:val="right" w:leader="dot" w:pos="10435"/>
              </w:tabs>
              <w:suppressAutoHyphens/>
              <w:spacing w:after="120" w:line="200" w:lineRule="atLeast"/>
              <w:ind w:left="24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107706,00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03.29.08.07.09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углепластиковым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опорным модулем. Чехол шерстяной 4 шт. Тип протеза: постоянный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крепление наколенником и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полимерный вкладной чехол не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178614,00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1607526,00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голени модульный, в том числе при недоразвитии 2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03.29.08.07.09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углепластиковым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опорным модулем.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крепление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наколенником  не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107823,00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323469,00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3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03.29.08.07.09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полужестская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эластичная. Косметическое покрытие облицовки-чулки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 с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 степенью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крепление наколенником и полимерный вкладной чехол не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213788,00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855152,00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голени модульный, в том числе при недоразвитии 4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03.29.08.07.09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 модульный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Формообразующая часть косметической облицовки-модульная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полужестская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эластичная. Косметическое покрытие облицовки-чулки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Приемная гильза индивидуальная. Материал постоянной гильзы: литьевой слоистый пластик на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 акриловых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 с мембраной. Крепление с использованием вакуумного клапана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«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герметизирующего» коленного бандажа.  Стопа с высокой степенью энергосбережения из карбона с вертикальным амортизатором и повышенной ротационной эластичностью, с разделенной передней частью адаптированная как для повседневного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 для занятий спортом.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крепление наколенником и полимерный вкладной чехол не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636950,00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636950,00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03.29.08.07.07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Приёмная гильза унифицированная или индивидуальная. Материал гильзы: дерево, слоистый пластик на основе полиамидных или акриловых смол. Крепление с использованием кожаных полуфабрикатов или бандажа.  Стопа с металлическим каркасом, подвижная во всех вертикальных плоскостях или </w:t>
            </w: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стопа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беззамковый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максимальной готовности.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70644,00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бедра модульный, в том числе при врожденном недоразвитии 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03.29.08.07.10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бедра  модульный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Приёмная гильза индивидуальная. Материал постоянной гильзы: литьевой слоистый пластик на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 акриловых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92951,00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185902,00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 2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03.29.08.07.10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углепластиковым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опорным модулем.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131902,00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527608,00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бедра модульный, в том числе при врожденном недоразвитии 3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03.29.08.07.10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tabs>
                <w:tab w:val="left" w:pos="465"/>
                <w:tab w:val="center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бедра  модульный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Приёмная гильза индивидуальная. Материал постоянной гильзы: литьевой слоистый пластик на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 акриловых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</w:t>
            </w:r>
            <w:proofErr w:type="gram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раздельными</w:t>
            </w:r>
            <w:proofErr w:type="gram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регулировками сгибания и разгибания.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полимерный вкладной чехол не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232378,00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697134,00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 4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03.29.08.07.10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пневматический полицентрический с раздельными регулировками сгибания и разгибания, геометрическим замком и размыканием через передний отдел стопы. Стопа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энергосбережения. Чехол шерстяной 4 шт.  Тип протеза: постоянный.</w:t>
            </w:r>
          </w:p>
          <w:p w:rsidR="000033C6" w:rsidRPr="000033C6" w:rsidRDefault="000033C6" w:rsidP="000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лет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полимерный вкладной чехол не менее 6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487993,00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1463979,00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голени для купания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 – 03.29.08.07.04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ОКПД2 – 32.50.22.121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для купания модульный. Формообразующая часть косметической облицовки – модульная полужесткая. Косметическое покрытие облицовки – чулки латексные. Допускается изготовление без формообразующей косметической облицовки. Приёмная гильза индивидуальная. Материал постоянной гильзы: литьевой слоистый пластик на основе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ортокриловых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смол. Одна пробная гильза. Материал пробной гильзы: листовой термопласт. В качестве вкладного элемента используется силиконовый чехол с внешним текстильным покрытием. Крепление с помощью наколенника анатомической формы из износостойкого сополимера и вакуумного клапана. Стопа специальная водостойкая с противоскользящим эффектом, с </w:t>
            </w:r>
            <w:proofErr w:type="spellStart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сложноконтурным</w:t>
            </w:r>
            <w:proofErr w:type="spellEnd"/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закладным элементом. Несущий модуль, винтовой РСУ, гильзовой РСУ специальные-водостойкие. Тип протеза: специальный.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</w:t>
            </w: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248000,00</w:t>
            </w:r>
          </w:p>
        </w:tc>
        <w:tc>
          <w:tcPr>
            <w:tcW w:w="824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248000,00</w:t>
            </w:r>
          </w:p>
        </w:tc>
      </w:tr>
      <w:tr w:rsidR="000033C6" w:rsidRPr="000033C6" w:rsidTr="009815F4">
        <w:trPr>
          <w:trHeight w:val="291"/>
        </w:trPr>
        <w:tc>
          <w:tcPr>
            <w:tcW w:w="1760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</w:tcPr>
          <w:p w:rsidR="000033C6" w:rsidRPr="000033C6" w:rsidRDefault="000033C6" w:rsidP="000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6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0033C6" w:rsidRPr="000033C6" w:rsidRDefault="000033C6" w:rsidP="000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15" w:type="dxa"/>
          </w:tcPr>
          <w:p w:rsidR="000033C6" w:rsidRPr="000033C6" w:rsidRDefault="000033C6" w:rsidP="000033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3777163,00</w:t>
            </w:r>
          </w:p>
        </w:tc>
      </w:tr>
    </w:tbl>
    <w:p w:rsidR="000033C6" w:rsidRPr="000033C6" w:rsidRDefault="000033C6" w:rsidP="0000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3C6" w:rsidRPr="000033C6" w:rsidRDefault="000033C6" w:rsidP="000033C6">
      <w:pPr>
        <w:keepNext/>
        <w:keepLines/>
        <w:widowControl w:val="0"/>
        <w:tabs>
          <w:tab w:val="left" w:pos="851"/>
          <w:tab w:val="right" w:leader="dot" w:pos="10435"/>
        </w:tabs>
        <w:suppressAutoHyphens/>
        <w:spacing w:after="0" w:line="276" w:lineRule="auto"/>
        <w:ind w:right="6376"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033C6" w:rsidRPr="000033C6" w:rsidRDefault="000033C6" w:rsidP="000033C6">
      <w:pPr>
        <w:keepNext/>
        <w:keepLines/>
        <w:widowControl w:val="0"/>
        <w:tabs>
          <w:tab w:val="left" w:pos="851"/>
          <w:tab w:val="right" w:leader="dot" w:pos="10435"/>
        </w:tabs>
        <w:suppressAutoHyphens/>
        <w:spacing w:after="0" w:line="276" w:lineRule="auto"/>
        <w:ind w:right="423" w:hanging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</w:t>
      </w:r>
      <w:proofErr w:type="gramStart"/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Заказчик:   </w:t>
      </w:r>
      <w:proofErr w:type="gramEnd"/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Исполнитель:                         </w:t>
      </w:r>
    </w:p>
    <w:p w:rsidR="000033C6" w:rsidRPr="000033C6" w:rsidRDefault="000033C6" w:rsidP="000033C6">
      <w:pPr>
        <w:keepNext/>
        <w:keepLines/>
        <w:widowControl w:val="0"/>
        <w:tabs>
          <w:tab w:val="left" w:pos="851"/>
          <w:tab w:val="right" w:leader="dot" w:pos="10435"/>
        </w:tabs>
        <w:suppressAutoHyphens/>
        <w:spacing w:after="0" w:line="276" w:lineRule="auto"/>
        <w:ind w:right="6376"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Государственное учреждение – региональное отделение Фонда социального страхования Р</w:t>
      </w: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оссийской </w:t>
      </w: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Ф</w:t>
      </w: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едерации</w:t>
      </w:r>
      <w:r w:rsidRPr="000033C6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 xml:space="preserve"> по Республике Мордовия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Адрес: 430005, Республика Мордовия,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г. Саранск, проспект Ленина, д.12 «а»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ИНН/КПП 1326024721/132601001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БИК 048952001</w:t>
      </w:r>
    </w:p>
    <w:p w:rsidR="000033C6" w:rsidRPr="000033C6" w:rsidRDefault="000033C6" w:rsidP="000033C6">
      <w:pPr>
        <w:widowControl w:val="0"/>
        <w:tabs>
          <w:tab w:val="left" w:pos="840"/>
          <w:tab w:val="right" w:leader="dot" w:pos="10435"/>
        </w:tabs>
        <w:suppressAutoHyphens/>
        <w:spacing w:after="0" w:line="240" w:lineRule="auto"/>
        <w:ind w:left="-10" w:firstLine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Фонд социального страхования Российской Федерации </w:t>
      </w:r>
    </w:p>
    <w:p w:rsidR="000033C6" w:rsidRPr="000033C6" w:rsidRDefault="000033C6" w:rsidP="000033C6">
      <w:pPr>
        <w:widowControl w:val="0"/>
        <w:tabs>
          <w:tab w:val="left" w:pos="840"/>
          <w:tab w:val="right" w:leader="dot" w:pos="10435"/>
        </w:tabs>
        <w:suppressAutoHyphens/>
        <w:spacing w:after="0" w:line="240" w:lineRule="auto"/>
        <w:ind w:left="-10" w:firstLine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(ГУ-РО Фонда социального страхования Российской </w:t>
      </w:r>
    </w:p>
    <w:p w:rsidR="000033C6" w:rsidRPr="000033C6" w:rsidRDefault="000033C6" w:rsidP="000033C6">
      <w:pPr>
        <w:widowControl w:val="0"/>
        <w:tabs>
          <w:tab w:val="left" w:pos="840"/>
          <w:tab w:val="right" w:leader="dot" w:pos="10435"/>
        </w:tabs>
        <w:suppressAutoHyphens/>
        <w:spacing w:after="0" w:line="240" w:lineRule="auto"/>
        <w:ind w:left="-10" w:firstLine="1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Федерации по Республике Мордовия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л/</w:t>
      </w:r>
      <w:proofErr w:type="spellStart"/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сч</w:t>
      </w:r>
      <w:proofErr w:type="spellEnd"/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03094С00400)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Банк получателя: 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О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ТДЕЛЕНИЕ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- НБ Р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ЕСПУБЛИКА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М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ОРДОВИЯ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БАНКА РОССИИ // 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УФК по Республике Мордовия 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г. Саранск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 банковского счета</w:t>
      </w:r>
      <w:r w:rsidRPr="000033C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40102810345370000076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 казначейского счета</w:t>
      </w:r>
    </w:p>
    <w:p w:rsidR="000033C6" w:rsidRPr="000033C6" w:rsidRDefault="000033C6" w:rsidP="000033C6">
      <w:pPr>
        <w:keepNext/>
        <w:keepLines/>
        <w:widowControl w:val="0"/>
        <w:tabs>
          <w:tab w:val="left" w:pos="840"/>
          <w:tab w:val="right" w:leader="dot" w:pos="10435"/>
        </w:tabs>
        <w:suppressAutoHyphens/>
        <w:spacing w:after="0" w:line="276" w:lineRule="auto"/>
        <w:ind w:hanging="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33C6">
        <w:rPr>
          <w:rFonts w:ascii="Times New Roman" w:eastAsia="Times New Roman" w:hAnsi="Times New Roman" w:cs="Times New Roman"/>
          <w:sz w:val="20"/>
          <w:szCs w:val="20"/>
          <w:lang w:eastAsia="ar-SA"/>
        </w:rPr>
        <w:t>03251643000000070900</w:t>
      </w:r>
    </w:p>
    <w:p w:rsidR="00E24046" w:rsidRDefault="00E24046"/>
    <w:sectPr w:rsidR="00E2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C6"/>
    <w:rsid w:val="000033C6"/>
    <w:rsid w:val="006F4693"/>
    <w:rsid w:val="00E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D449-66BB-4821-968F-9275F0D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ev.nishanova.13</dc:creator>
  <cp:keywords/>
  <dc:description/>
  <cp:lastModifiedBy>ev.nishanova.13</cp:lastModifiedBy>
  <cp:revision>2</cp:revision>
  <dcterms:created xsi:type="dcterms:W3CDTF">2021-01-21T12:14:00Z</dcterms:created>
  <dcterms:modified xsi:type="dcterms:W3CDTF">2021-01-21T12:15:00Z</dcterms:modified>
</cp:coreProperties>
</file>