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5C" w:rsidRDefault="00D7115C" w:rsidP="00D7115C">
      <w:pPr>
        <w:jc w:val="center"/>
        <w:rPr>
          <w:b/>
          <w:sz w:val="22"/>
          <w:szCs w:val="22"/>
        </w:rPr>
      </w:pPr>
      <w:r>
        <w:rPr>
          <w:b/>
          <w:bCs/>
        </w:rPr>
        <w:t>Ш</w:t>
      </w:r>
      <w:r w:rsidRPr="000669CA">
        <w:rPr>
          <w:b/>
          <w:bCs/>
        </w:rPr>
        <w:t xml:space="preserve">. </w:t>
      </w:r>
      <w:r w:rsidRPr="008D2969">
        <w:rPr>
          <w:b/>
          <w:sz w:val="22"/>
          <w:szCs w:val="22"/>
        </w:rPr>
        <w:t>ОПИСАНИЕ ОБЪЕКТА ЗАКУПКИ</w:t>
      </w:r>
    </w:p>
    <w:p w:rsidR="00D7115C" w:rsidRDefault="00D7115C" w:rsidP="00D7115C">
      <w:pPr>
        <w:autoSpaceDE w:val="0"/>
        <w:autoSpaceDN w:val="0"/>
        <w:adjustRightInd w:val="0"/>
        <w:ind w:firstLine="709"/>
        <w:jc w:val="both"/>
        <w:rPr>
          <w:b/>
        </w:rPr>
      </w:pPr>
    </w:p>
    <w:p w:rsidR="00E35808" w:rsidRPr="000A357E" w:rsidRDefault="00E35808" w:rsidP="009226AD">
      <w:pPr>
        <w:jc w:val="both"/>
        <w:rPr>
          <w:b/>
          <w:sz w:val="26"/>
          <w:szCs w:val="26"/>
        </w:rPr>
      </w:pPr>
    </w:p>
    <w:p w:rsidR="009226AD" w:rsidRPr="000A357E" w:rsidRDefault="009226AD" w:rsidP="009226AD">
      <w:pPr>
        <w:spacing w:after="160" w:line="259" w:lineRule="auto"/>
        <w:jc w:val="both"/>
        <w:rPr>
          <w:rFonts w:eastAsia="Andale Sans UI"/>
          <w:kern w:val="1"/>
          <w:sz w:val="26"/>
          <w:szCs w:val="26"/>
          <w:lang w:eastAsia="ar-SA"/>
        </w:rPr>
      </w:pPr>
      <w:r w:rsidRPr="000A357E">
        <w:rPr>
          <w:b/>
          <w:bCs/>
          <w:kern w:val="1"/>
          <w:sz w:val="26"/>
          <w:szCs w:val="26"/>
        </w:rPr>
        <w:t xml:space="preserve">Место </w:t>
      </w:r>
      <w:r w:rsidR="00427C62">
        <w:rPr>
          <w:b/>
          <w:bCs/>
          <w:kern w:val="1"/>
          <w:sz w:val="26"/>
          <w:szCs w:val="26"/>
        </w:rPr>
        <w:t>поставки товара</w:t>
      </w:r>
      <w:r w:rsidRPr="000A357E">
        <w:rPr>
          <w:b/>
          <w:bCs/>
          <w:kern w:val="1"/>
          <w:sz w:val="26"/>
          <w:szCs w:val="26"/>
        </w:rPr>
        <w:t xml:space="preserve">: </w:t>
      </w:r>
      <w:r w:rsidR="00427C62" w:rsidRPr="00427C62">
        <w:rPr>
          <w:rFonts w:eastAsia="Andale Sans UI"/>
          <w:kern w:val="1"/>
          <w:sz w:val="26"/>
          <w:szCs w:val="26"/>
          <w:lang w:eastAsia="ar-SA"/>
        </w:rPr>
        <w:t>Поставка осуществляется на территории Ханты-Мансийского автономного округа – Югры, по направлениям на получение либо изготовление технических   средств   реабилитации.</w:t>
      </w:r>
    </w:p>
    <w:p w:rsidR="000A357E" w:rsidRDefault="009226AD" w:rsidP="009A4C9B">
      <w:pPr>
        <w:spacing w:after="160" w:line="259" w:lineRule="auto"/>
        <w:jc w:val="both"/>
        <w:rPr>
          <w:rFonts w:eastAsia="Andale Sans UI"/>
          <w:kern w:val="1"/>
          <w:sz w:val="26"/>
          <w:szCs w:val="26"/>
          <w:lang w:eastAsia="ar-SA"/>
        </w:rPr>
      </w:pPr>
      <w:r w:rsidRPr="000A357E">
        <w:rPr>
          <w:b/>
          <w:bCs/>
          <w:kern w:val="1"/>
          <w:sz w:val="26"/>
          <w:szCs w:val="26"/>
        </w:rPr>
        <w:t xml:space="preserve">Сроки </w:t>
      </w:r>
      <w:r w:rsidR="00427C62">
        <w:rPr>
          <w:b/>
          <w:bCs/>
          <w:kern w:val="1"/>
          <w:sz w:val="26"/>
          <w:szCs w:val="26"/>
        </w:rPr>
        <w:t>поставки товара</w:t>
      </w:r>
      <w:r w:rsidRPr="000A357E">
        <w:rPr>
          <w:b/>
          <w:bCs/>
          <w:kern w:val="1"/>
          <w:sz w:val="26"/>
          <w:szCs w:val="26"/>
        </w:rPr>
        <w:t xml:space="preserve">: </w:t>
      </w:r>
      <w:r w:rsidR="00427C62" w:rsidRPr="00427C62">
        <w:rPr>
          <w:rFonts w:eastAsia="Andale Sans UI"/>
          <w:kern w:val="1"/>
          <w:sz w:val="26"/>
          <w:szCs w:val="26"/>
          <w:lang w:eastAsia="ar-SA"/>
        </w:rPr>
        <w:t xml:space="preserve">С даты получения от Заказчика реестра получателей Товара по «30» </w:t>
      </w:r>
      <w:r w:rsidR="00427C62">
        <w:rPr>
          <w:rFonts w:eastAsia="Andale Sans UI"/>
          <w:kern w:val="1"/>
          <w:sz w:val="26"/>
          <w:szCs w:val="26"/>
          <w:lang w:eastAsia="ar-SA"/>
        </w:rPr>
        <w:t>сентября</w:t>
      </w:r>
      <w:r w:rsidR="00427C62" w:rsidRPr="00427C62">
        <w:rPr>
          <w:rFonts w:eastAsia="Andale Sans UI"/>
          <w:kern w:val="1"/>
          <w:sz w:val="26"/>
          <w:szCs w:val="26"/>
          <w:lang w:eastAsia="ar-SA"/>
        </w:rPr>
        <w:t xml:space="preserve"> 202</w:t>
      </w:r>
      <w:r w:rsidR="00427C62">
        <w:rPr>
          <w:rFonts w:eastAsia="Andale Sans UI"/>
          <w:kern w:val="1"/>
          <w:sz w:val="26"/>
          <w:szCs w:val="26"/>
          <w:lang w:eastAsia="ar-SA"/>
        </w:rPr>
        <w:t>1</w:t>
      </w:r>
      <w:r w:rsidR="00427C62" w:rsidRPr="00427C62">
        <w:rPr>
          <w:rFonts w:eastAsia="Andale Sans UI"/>
          <w:kern w:val="1"/>
          <w:sz w:val="26"/>
          <w:szCs w:val="26"/>
          <w:lang w:eastAsia="ar-SA"/>
        </w:rPr>
        <w:t xml:space="preserve"> года.</w:t>
      </w:r>
    </w:p>
    <w:p w:rsidR="005D4418" w:rsidRDefault="005D4418" w:rsidP="009A4C9B">
      <w:pPr>
        <w:spacing w:after="160" w:line="259" w:lineRule="auto"/>
        <w:jc w:val="both"/>
        <w:rPr>
          <w:rFonts w:eastAsia="Andale Sans UI"/>
          <w:kern w:val="1"/>
          <w:sz w:val="26"/>
          <w:szCs w:val="26"/>
          <w:lang w:eastAsia="ar-SA"/>
        </w:rPr>
      </w:pPr>
    </w:p>
    <w:p w:rsidR="00D7115C" w:rsidRDefault="00D7115C" w:rsidP="009A4C9B">
      <w:pPr>
        <w:spacing w:after="160" w:line="259" w:lineRule="auto"/>
        <w:jc w:val="both"/>
        <w:rPr>
          <w:sz w:val="26"/>
          <w:szCs w:val="26"/>
        </w:rPr>
      </w:pPr>
      <w:r w:rsidRPr="000A357E">
        <w:rPr>
          <w:b/>
          <w:sz w:val="26"/>
          <w:szCs w:val="26"/>
        </w:rPr>
        <w:t>Наименование, характеристики и количество поставляемых товаров</w:t>
      </w:r>
      <w:r w:rsidRPr="000A357E">
        <w:rPr>
          <w:sz w:val="26"/>
          <w:szCs w:val="26"/>
        </w:rPr>
        <w:t>, объем выполняемых работ, оказываемых услуг: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947"/>
        <w:gridCol w:w="2339"/>
        <w:gridCol w:w="2406"/>
        <w:gridCol w:w="1438"/>
        <w:gridCol w:w="793"/>
        <w:gridCol w:w="785"/>
      </w:tblGrid>
      <w:tr w:rsidR="005D4418" w:rsidRPr="00355BFD" w:rsidTr="005D4418">
        <w:trPr>
          <w:trHeight w:val="197"/>
          <w:jc w:val="center"/>
        </w:trPr>
        <w:tc>
          <w:tcPr>
            <w:tcW w:w="239" w:type="pct"/>
            <w:vMerge w:val="restart"/>
            <w:vAlign w:val="center"/>
          </w:tcPr>
          <w:p w:rsidR="005D4418" w:rsidRPr="00355BFD" w:rsidRDefault="005D4418" w:rsidP="001E114F">
            <w:pPr>
              <w:contextualSpacing/>
              <w:jc w:val="center"/>
              <w:rPr>
                <w:sz w:val="20"/>
                <w:szCs w:val="20"/>
              </w:rPr>
            </w:pPr>
            <w:bookmarkStart w:id="0" w:name="_GoBack"/>
            <w:bookmarkEnd w:id="0"/>
            <w:r w:rsidRPr="00355BFD">
              <w:rPr>
                <w:sz w:val="20"/>
                <w:szCs w:val="20"/>
              </w:rPr>
              <w:t>№</w:t>
            </w:r>
          </w:p>
          <w:p w:rsidR="005D4418" w:rsidRPr="00355BFD" w:rsidRDefault="005D4418" w:rsidP="001E114F">
            <w:pPr>
              <w:contextualSpacing/>
              <w:jc w:val="center"/>
              <w:rPr>
                <w:sz w:val="20"/>
                <w:szCs w:val="20"/>
              </w:rPr>
            </w:pPr>
            <w:r w:rsidRPr="00355BFD">
              <w:rPr>
                <w:sz w:val="20"/>
                <w:szCs w:val="20"/>
              </w:rPr>
              <w:t>п/п</w:t>
            </w:r>
          </w:p>
        </w:tc>
        <w:tc>
          <w:tcPr>
            <w:tcW w:w="955" w:type="pct"/>
            <w:vMerge w:val="restart"/>
            <w:vAlign w:val="center"/>
          </w:tcPr>
          <w:p w:rsidR="005D4418" w:rsidRPr="00355BFD" w:rsidRDefault="005D4418" w:rsidP="001E114F">
            <w:pPr>
              <w:contextualSpacing/>
              <w:jc w:val="center"/>
              <w:rPr>
                <w:sz w:val="20"/>
                <w:szCs w:val="20"/>
              </w:rPr>
            </w:pPr>
            <w:r w:rsidRPr="00355BFD">
              <w:rPr>
                <w:sz w:val="20"/>
                <w:szCs w:val="20"/>
              </w:rPr>
              <w:t xml:space="preserve">Наименование </w:t>
            </w:r>
          </w:p>
        </w:tc>
        <w:tc>
          <w:tcPr>
            <w:tcW w:w="3032" w:type="pct"/>
            <w:gridSpan w:val="3"/>
            <w:vAlign w:val="center"/>
          </w:tcPr>
          <w:p w:rsidR="005D4418" w:rsidRPr="00355BFD" w:rsidRDefault="005D4418" w:rsidP="001E114F">
            <w:pPr>
              <w:contextualSpacing/>
              <w:jc w:val="center"/>
              <w:rPr>
                <w:sz w:val="20"/>
                <w:szCs w:val="20"/>
              </w:rPr>
            </w:pPr>
            <w:r w:rsidRPr="00355BFD">
              <w:rPr>
                <w:sz w:val="20"/>
                <w:szCs w:val="20"/>
              </w:rPr>
              <w:t>Описание (характеристики) объекта закупки</w:t>
            </w:r>
            <w:r w:rsidRPr="00355BFD">
              <w:rPr>
                <w:sz w:val="20"/>
                <w:szCs w:val="20"/>
                <w:vertAlign w:val="superscript"/>
              </w:rPr>
              <w:footnoteReference w:id="1"/>
            </w:r>
          </w:p>
          <w:p w:rsidR="005D4418" w:rsidRPr="00355BFD" w:rsidRDefault="005D4418" w:rsidP="001E114F">
            <w:pPr>
              <w:contextualSpacing/>
              <w:jc w:val="center"/>
              <w:rPr>
                <w:sz w:val="20"/>
                <w:szCs w:val="20"/>
              </w:rPr>
            </w:pPr>
          </w:p>
        </w:tc>
        <w:tc>
          <w:tcPr>
            <w:tcW w:w="389" w:type="pct"/>
            <w:vMerge w:val="restart"/>
            <w:vAlign w:val="center"/>
          </w:tcPr>
          <w:p w:rsidR="005D4418" w:rsidRPr="00355BFD" w:rsidRDefault="005D4418" w:rsidP="001E114F">
            <w:pPr>
              <w:autoSpaceDE w:val="0"/>
              <w:autoSpaceDN w:val="0"/>
              <w:adjustRightInd w:val="0"/>
              <w:contextualSpacing/>
              <w:jc w:val="center"/>
              <w:rPr>
                <w:sz w:val="20"/>
                <w:szCs w:val="20"/>
              </w:rPr>
            </w:pPr>
            <w:r w:rsidRPr="00355BFD">
              <w:rPr>
                <w:sz w:val="20"/>
                <w:szCs w:val="20"/>
              </w:rPr>
              <w:t>Ед. изм.</w:t>
            </w:r>
          </w:p>
        </w:tc>
        <w:tc>
          <w:tcPr>
            <w:tcW w:w="385" w:type="pct"/>
            <w:vMerge w:val="restart"/>
            <w:vAlign w:val="center"/>
          </w:tcPr>
          <w:p w:rsidR="005D4418" w:rsidRPr="00355BFD" w:rsidRDefault="005D4418" w:rsidP="001E114F">
            <w:pPr>
              <w:contextualSpacing/>
              <w:jc w:val="center"/>
              <w:rPr>
                <w:sz w:val="20"/>
                <w:szCs w:val="20"/>
              </w:rPr>
            </w:pPr>
            <w:r w:rsidRPr="00355BFD">
              <w:rPr>
                <w:sz w:val="20"/>
                <w:szCs w:val="20"/>
              </w:rPr>
              <w:t>Кол-во</w:t>
            </w:r>
          </w:p>
        </w:tc>
      </w:tr>
      <w:tr w:rsidR="005D4418" w:rsidRPr="00355BFD" w:rsidTr="005D4418">
        <w:trPr>
          <w:trHeight w:val="1362"/>
          <w:jc w:val="center"/>
        </w:trPr>
        <w:tc>
          <w:tcPr>
            <w:tcW w:w="239" w:type="pct"/>
            <w:vMerge/>
            <w:vAlign w:val="center"/>
          </w:tcPr>
          <w:p w:rsidR="005D4418" w:rsidRPr="00355BFD" w:rsidRDefault="005D4418" w:rsidP="001E114F">
            <w:pPr>
              <w:contextualSpacing/>
              <w:jc w:val="center"/>
            </w:pPr>
          </w:p>
        </w:tc>
        <w:tc>
          <w:tcPr>
            <w:tcW w:w="955" w:type="pct"/>
            <w:vMerge/>
            <w:vAlign w:val="center"/>
          </w:tcPr>
          <w:p w:rsidR="005D4418" w:rsidRPr="00355BFD" w:rsidRDefault="005D4418" w:rsidP="001E114F">
            <w:pPr>
              <w:contextualSpacing/>
              <w:jc w:val="center"/>
            </w:pPr>
          </w:p>
        </w:tc>
        <w:tc>
          <w:tcPr>
            <w:tcW w:w="1147" w:type="pct"/>
            <w:vAlign w:val="center"/>
          </w:tcPr>
          <w:p w:rsidR="005D4418" w:rsidRPr="00355BFD" w:rsidRDefault="005D4418" w:rsidP="001E114F">
            <w:pPr>
              <w:contextualSpacing/>
              <w:jc w:val="center"/>
            </w:pPr>
            <w:r w:rsidRPr="00355BFD">
              <w:rPr>
                <w:sz w:val="20"/>
                <w:szCs w:val="20"/>
              </w:rPr>
              <w:t>Наименование показателя</w:t>
            </w:r>
            <w:r w:rsidRPr="00355BFD">
              <w:rPr>
                <w:vertAlign w:val="superscript"/>
              </w:rPr>
              <w:t xml:space="preserve"> </w:t>
            </w:r>
            <w:r w:rsidRPr="00355BFD">
              <w:rPr>
                <w:vertAlign w:val="superscript"/>
              </w:rPr>
              <w:footnoteReference w:id="2"/>
            </w:r>
          </w:p>
          <w:p w:rsidR="005D4418" w:rsidRPr="00355BFD" w:rsidRDefault="005D4418" w:rsidP="001E114F">
            <w:pPr>
              <w:contextualSpacing/>
              <w:jc w:val="center"/>
              <w:rPr>
                <w:color w:val="FF0000"/>
                <w:sz w:val="20"/>
                <w:szCs w:val="20"/>
              </w:rPr>
            </w:pPr>
            <w:r w:rsidRPr="00355BFD">
              <w:rPr>
                <w:color w:val="FF0000"/>
                <w:sz w:val="20"/>
                <w:szCs w:val="20"/>
              </w:rPr>
              <w:t>(неизменяемое)</w:t>
            </w:r>
          </w:p>
        </w:tc>
        <w:tc>
          <w:tcPr>
            <w:tcW w:w="1180" w:type="pct"/>
            <w:vAlign w:val="center"/>
          </w:tcPr>
          <w:p w:rsidR="005D4418" w:rsidRPr="00355BFD" w:rsidRDefault="005D4418" w:rsidP="001E114F">
            <w:pPr>
              <w:autoSpaceDE w:val="0"/>
              <w:autoSpaceDN w:val="0"/>
              <w:adjustRightInd w:val="0"/>
              <w:contextualSpacing/>
              <w:jc w:val="center"/>
            </w:pPr>
            <w:r w:rsidRPr="00355BFD">
              <w:rPr>
                <w:sz w:val="20"/>
                <w:szCs w:val="20"/>
              </w:rPr>
              <w:t>Значения показателей, которые не могут изменяться</w:t>
            </w:r>
            <w:r w:rsidRPr="00355BFD">
              <w:rPr>
                <w:vertAlign w:val="superscript"/>
              </w:rPr>
              <w:footnoteReference w:id="3"/>
            </w:r>
          </w:p>
          <w:p w:rsidR="005D4418" w:rsidRPr="00355BFD" w:rsidRDefault="005D4418" w:rsidP="001E114F">
            <w:pPr>
              <w:autoSpaceDE w:val="0"/>
              <w:autoSpaceDN w:val="0"/>
              <w:adjustRightInd w:val="0"/>
              <w:contextualSpacing/>
              <w:jc w:val="center"/>
              <w:rPr>
                <w:color w:val="FF0000"/>
                <w:sz w:val="20"/>
                <w:szCs w:val="20"/>
              </w:rPr>
            </w:pPr>
            <w:r w:rsidRPr="00355BFD">
              <w:rPr>
                <w:color w:val="FF0000"/>
                <w:sz w:val="20"/>
                <w:szCs w:val="20"/>
              </w:rPr>
              <w:t>(неизменяемое)</w:t>
            </w:r>
          </w:p>
        </w:tc>
        <w:tc>
          <w:tcPr>
            <w:tcW w:w="705" w:type="pct"/>
            <w:vAlign w:val="center"/>
          </w:tcPr>
          <w:p w:rsidR="005D4418" w:rsidRPr="00355BFD" w:rsidRDefault="005D4418" w:rsidP="001E114F">
            <w:pPr>
              <w:autoSpaceDE w:val="0"/>
              <w:autoSpaceDN w:val="0"/>
              <w:adjustRightInd w:val="0"/>
              <w:contextualSpacing/>
              <w:jc w:val="center"/>
              <w:rPr>
                <w:sz w:val="20"/>
                <w:szCs w:val="20"/>
              </w:rPr>
            </w:pPr>
            <w:r w:rsidRPr="00355BFD">
              <w:rPr>
                <w:sz w:val="20"/>
                <w:szCs w:val="20"/>
              </w:rPr>
              <w:t>Изменяемое значение показателей (точное значение устанавливает участник закупки)</w:t>
            </w:r>
          </w:p>
        </w:tc>
        <w:tc>
          <w:tcPr>
            <w:tcW w:w="389" w:type="pct"/>
            <w:vMerge/>
          </w:tcPr>
          <w:p w:rsidR="005D4418" w:rsidRPr="00355BFD" w:rsidRDefault="005D4418" w:rsidP="001E114F">
            <w:pPr>
              <w:contextualSpacing/>
              <w:jc w:val="center"/>
            </w:pPr>
          </w:p>
        </w:tc>
        <w:tc>
          <w:tcPr>
            <w:tcW w:w="385" w:type="pct"/>
            <w:vMerge/>
          </w:tcPr>
          <w:p w:rsidR="005D4418" w:rsidRPr="00355BFD" w:rsidRDefault="005D4418" w:rsidP="001E114F">
            <w:pPr>
              <w:contextualSpacing/>
              <w:jc w:val="center"/>
            </w:pPr>
          </w:p>
        </w:tc>
      </w:tr>
      <w:tr w:rsidR="005D4418" w:rsidRPr="00355BFD" w:rsidTr="005D4418">
        <w:trPr>
          <w:trHeight w:val="211"/>
          <w:jc w:val="center"/>
        </w:trPr>
        <w:tc>
          <w:tcPr>
            <w:tcW w:w="239" w:type="pct"/>
          </w:tcPr>
          <w:p w:rsidR="005D4418" w:rsidRPr="00355BFD" w:rsidRDefault="005D4418" w:rsidP="001E114F">
            <w:pPr>
              <w:contextualSpacing/>
              <w:jc w:val="center"/>
              <w:rPr>
                <w:sz w:val="20"/>
                <w:szCs w:val="20"/>
              </w:rPr>
            </w:pPr>
            <w:r w:rsidRPr="00355BFD">
              <w:rPr>
                <w:sz w:val="20"/>
                <w:szCs w:val="20"/>
              </w:rPr>
              <w:t>1</w:t>
            </w:r>
          </w:p>
        </w:tc>
        <w:tc>
          <w:tcPr>
            <w:tcW w:w="955" w:type="pct"/>
          </w:tcPr>
          <w:p w:rsidR="005D4418" w:rsidRPr="00355BFD" w:rsidRDefault="005D4418" w:rsidP="001E114F">
            <w:pPr>
              <w:contextualSpacing/>
              <w:jc w:val="center"/>
              <w:rPr>
                <w:sz w:val="20"/>
                <w:szCs w:val="20"/>
              </w:rPr>
            </w:pPr>
            <w:r w:rsidRPr="00355BFD">
              <w:rPr>
                <w:sz w:val="20"/>
                <w:szCs w:val="20"/>
              </w:rPr>
              <w:t>2</w:t>
            </w:r>
          </w:p>
        </w:tc>
        <w:tc>
          <w:tcPr>
            <w:tcW w:w="1147" w:type="pct"/>
          </w:tcPr>
          <w:p w:rsidR="005D4418" w:rsidRPr="00355BFD" w:rsidRDefault="005D4418" w:rsidP="001E114F">
            <w:pPr>
              <w:tabs>
                <w:tab w:val="left" w:pos="708"/>
              </w:tabs>
              <w:contextualSpacing/>
              <w:jc w:val="center"/>
              <w:rPr>
                <w:sz w:val="20"/>
                <w:szCs w:val="20"/>
              </w:rPr>
            </w:pPr>
            <w:r w:rsidRPr="00355BFD">
              <w:rPr>
                <w:sz w:val="20"/>
                <w:szCs w:val="20"/>
              </w:rPr>
              <w:t>3</w:t>
            </w:r>
          </w:p>
        </w:tc>
        <w:tc>
          <w:tcPr>
            <w:tcW w:w="1180" w:type="pct"/>
          </w:tcPr>
          <w:p w:rsidR="005D4418" w:rsidRPr="00355BFD" w:rsidRDefault="005D4418" w:rsidP="001E114F">
            <w:pPr>
              <w:contextualSpacing/>
              <w:jc w:val="center"/>
              <w:rPr>
                <w:sz w:val="20"/>
                <w:szCs w:val="20"/>
              </w:rPr>
            </w:pPr>
            <w:r w:rsidRPr="00355BFD">
              <w:rPr>
                <w:sz w:val="20"/>
                <w:szCs w:val="20"/>
              </w:rPr>
              <w:t>4</w:t>
            </w:r>
          </w:p>
        </w:tc>
        <w:tc>
          <w:tcPr>
            <w:tcW w:w="705" w:type="pct"/>
          </w:tcPr>
          <w:p w:rsidR="005D4418" w:rsidRPr="00355BFD" w:rsidRDefault="005D4418" w:rsidP="001E114F">
            <w:pPr>
              <w:contextualSpacing/>
              <w:jc w:val="center"/>
              <w:rPr>
                <w:sz w:val="20"/>
                <w:szCs w:val="20"/>
              </w:rPr>
            </w:pPr>
            <w:r w:rsidRPr="00355BFD">
              <w:rPr>
                <w:sz w:val="20"/>
                <w:szCs w:val="20"/>
              </w:rPr>
              <w:t>5</w:t>
            </w:r>
          </w:p>
        </w:tc>
        <w:tc>
          <w:tcPr>
            <w:tcW w:w="389" w:type="pct"/>
          </w:tcPr>
          <w:p w:rsidR="005D4418" w:rsidRPr="00355BFD" w:rsidRDefault="005D4418" w:rsidP="001E114F">
            <w:pPr>
              <w:contextualSpacing/>
              <w:jc w:val="center"/>
              <w:rPr>
                <w:sz w:val="20"/>
                <w:szCs w:val="20"/>
              </w:rPr>
            </w:pPr>
            <w:r w:rsidRPr="00355BFD">
              <w:rPr>
                <w:sz w:val="20"/>
                <w:szCs w:val="20"/>
              </w:rPr>
              <w:t>6</w:t>
            </w:r>
          </w:p>
        </w:tc>
        <w:tc>
          <w:tcPr>
            <w:tcW w:w="385" w:type="pct"/>
          </w:tcPr>
          <w:p w:rsidR="005D4418" w:rsidRPr="00355BFD" w:rsidRDefault="005D4418" w:rsidP="001E114F">
            <w:pPr>
              <w:contextualSpacing/>
              <w:jc w:val="center"/>
              <w:rPr>
                <w:sz w:val="20"/>
                <w:szCs w:val="20"/>
              </w:rPr>
            </w:pPr>
            <w:r w:rsidRPr="00355BFD">
              <w:rPr>
                <w:sz w:val="20"/>
                <w:szCs w:val="20"/>
              </w:rPr>
              <w:t>7</w:t>
            </w:r>
          </w:p>
        </w:tc>
      </w:tr>
      <w:tr w:rsidR="005D4418" w:rsidRPr="00355BFD" w:rsidTr="005D4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jc w:val="center"/>
        </w:trPr>
        <w:tc>
          <w:tcPr>
            <w:tcW w:w="239" w:type="pct"/>
            <w:vMerge w:val="restart"/>
            <w:tcBorders>
              <w:top w:val="single" w:sz="4" w:space="0" w:color="000000"/>
              <w:left w:val="single" w:sz="4" w:space="0" w:color="000000"/>
              <w:right w:val="nil"/>
            </w:tcBorders>
          </w:tcPr>
          <w:p w:rsidR="005D4418" w:rsidRPr="00355BFD" w:rsidRDefault="005D4418" w:rsidP="001E114F">
            <w:pPr>
              <w:autoSpaceDE w:val="0"/>
              <w:autoSpaceDN w:val="0"/>
              <w:adjustRightInd w:val="0"/>
              <w:ind w:hanging="20"/>
              <w:contextualSpacing/>
              <w:jc w:val="center"/>
              <w:rPr>
                <w:sz w:val="20"/>
                <w:szCs w:val="20"/>
              </w:rPr>
            </w:pPr>
            <w:r w:rsidRPr="00355BFD">
              <w:rPr>
                <w:sz w:val="20"/>
                <w:szCs w:val="20"/>
              </w:rPr>
              <w:t>1</w:t>
            </w:r>
          </w:p>
        </w:tc>
        <w:tc>
          <w:tcPr>
            <w:tcW w:w="955" w:type="pct"/>
            <w:vMerge w:val="restart"/>
            <w:tcBorders>
              <w:top w:val="single" w:sz="4" w:space="0" w:color="000000"/>
              <w:left w:val="single" w:sz="4" w:space="0" w:color="000000"/>
              <w:right w:val="nil"/>
            </w:tcBorders>
          </w:tcPr>
          <w:p w:rsidR="005D4418" w:rsidRPr="00355BFD" w:rsidRDefault="005D4418" w:rsidP="001E114F">
            <w:pPr>
              <w:autoSpaceDE w:val="0"/>
              <w:autoSpaceDN w:val="0"/>
              <w:adjustRightInd w:val="0"/>
              <w:ind w:firstLine="8"/>
              <w:contextualSpacing/>
              <w:rPr>
                <w:sz w:val="20"/>
                <w:szCs w:val="20"/>
              </w:rPr>
            </w:pPr>
            <w:r w:rsidRPr="00355BFD">
              <w:rPr>
                <w:sz w:val="20"/>
                <w:szCs w:val="20"/>
              </w:rPr>
              <w:t xml:space="preserve">Однокомпонентный дренируемый калоприемник со встроенной плоской пластиной </w:t>
            </w:r>
          </w:p>
        </w:tc>
        <w:tc>
          <w:tcPr>
            <w:tcW w:w="1147" w:type="pct"/>
            <w:tcBorders>
              <w:top w:val="single" w:sz="4" w:space="0" w:color="000000"/>
              <w:left w:val="single" w:sz="4" w:space="0" w:color="000000"/>
              <w:bottom w:val="single" w:sz="4" w:space="0" w:color="000000"/>
              <w:right w:val="nil"/>
            </w:tcBorders>
          </w:tcPr>
          <w:p w:rsidR="005D4418" w:rsidRPr="00355BFD" w:rsidRDefault="005D4418" w:rsidP="001E114F">
            <w:pPr>
              <w:suppressLineNumbers/>
              <w:autoSpaceDN w:val="0"/>
              <w:snapToGrid w:val="0"/>
              <w:contextualSpacing/>
              <w:textAlignment w:val="baseline"/>
              <w:rPr>
                <w:rFonts w:eastAsia="Andale Sans UI"/>
                <w:kern w:val="3"/>
                <w:sz w:val="19"/>
                <w:szCs w:val="19"/>
                <w:lang w:val="de-DE" w:eastAsia="ja-JP" w:bidi="fa-IR"/>
              </w:rPr>
            </w:pPr>
            <w:r w:rsidRPr="00355BFD">
              <w:rPr>
                <w:rFonts w:eastAsia="Andale Sans UI"/>
                <w:kern w:val="3"/>
                <w:sz w:val="19"/>
                <w:szCs w:val="19"/>
                <w:lang w:val="de-DE" w:eastAsia="ja-JP" w:bidi="fa-IR"/>
              </w:rPr>
              <w:t>-</w:t>
            </w:r>
            <w:r w:rsidRPr="00355BFD">
              <w:rPr>
                <w:rFonts w:eastAsia="Andale Sans UI"/>
                <w:kern w:val="3"/>
                <w:sz w:val="19"/>
                <w:szCs w:val="19"/>
                <w:lang w:eastAsia="ja-JP" w:bidi="fa-IR"/>
              </w:rPr>
              <w:t xml:space="preserve"> тип </w:t>
            </w:r>
            <w:proofErr w:type="spellStart"/>
            <w:r w:rsidRPr="00355BFD">
              <w:rPr>
                <w:rFonts w:eastAsia="Andale Sans UI"/>
                <w:kern w:val="3"/>
                <w:sz w:val="19"/>
                <w:szCs w:val="19"/>
                <w:lang w:eastAsia="ja-JP" w:bidi="fa-IR"/>
              </w:rPr>
              <w:t>адгезива</w:t>
            </w:r>
            <w:proofErr w:type="spellEnd"/>
            <w:r w:rsidRPr="00355BFD">
              <w:rPr>
                <w:rFonts w:eastAsia="Andale Sans UI"/>
                <w:kern w:val="3"/>
                <w:sz w:val="19"/>
                <w:szCs w:val="19"/>
                <w:lang w:eastAsia="ja-JP" w:bidi="fa-IR"/>
              </w:rPr>
              <w:t xml:space="preserve"> </w:t>
            </w:r>
          </w:p>
        </w:tc>
        <w:tc>
          <w:tcPr>
            <w:tcW w:w="1180" w:type="pct"/>
            <w:tcBorders>
              <w:top w:val="single" w:sz="4" w:space="0" w:color="000000"/>
              <w:left w:val="single" w:sz="4" w:space="0" w:color="000000"/>
              <w:bottom w:val="single" w:sz="4" w:space="0" w:color="000000"/>
              <w:right w:val="nil"/>
            </w:tcBorders>
          </w:tcPr>
          <w:p w:rsidR="005D4418" w:rsidRPr="00355BFD" w:rsidRDefault="005D4418" w:rsidP="001E114F">
            <w:pPr>
              <w:suppressLineNumbers/>
              <w:autoSpaceDN w:val="0"/>
              <w:snapToGrid w:val="0"/>
              <w:contextualSpacing/>
              <w:textAlignment w:val="baseline"/>
              <w:rPr>
                <w:sz w:val="20"/>
                <w:szCs w:val="20"/>
              </w:rPr>
            </w:pPr>
            <w:r w:rsidRPr="00355BFD">
              <w:rPr>
                <w:sz w:val="20"/>
                <w:szCs w:val="20"/>
              </w:rPr>
              <w:t xml:space="preserve">гидроколлоидный </w:t>
            </w:r>
            <w:proofErr w:type="spellStart"/>
            <w:r w:rsidRPr="00355BFD">
              <w:rPr>
                <w:sz w:val="20"/>
                <w:szCs w:val="20"/>
              </w:rPr>
              <w:t>адгезив</w:t>
            </w:r>
            <w:proofErr w:type="spellEnd"/>
          </w:p>
        </w:tc>
        <w:tc>
          <w:tcPr>
            <w:tcW w:w="705" w:type="pct"/>
            <w:tcBorders>
              <w:top w:val="single" w:sz="4" w:space="0" w:color="000000"/>
              <w:left w:val="single" w:sz="4" w:space="0" w:color="000000"/>
              <w:bottom w:val="single" w:sz="4" w:space="0" w:color="000000"/>
              <w:right w:val="single" w:sz="4" w:space="0" w:color="auto"/>
            </w:tcBorders>
          </w:tcPr>
          <w:p w:rsidR="005D4418" w:rsidRPr="00355BFD" w:rsidRDefault="005D4418" w:rsidP="001E114F">
            <w:pPr>
              <w:autoSpaceDE w:val="0"/>
              <w:autoSpaceDN w:val="0"/>
              <w:adjustRightInd w:val="0"/>
              <w:contextualSpacing/>
              <w:rPr>
                <w:sz w:val="20"/>
                <w:szCs w:val="20"/>
              </w:rPr>
            </w:pPr>
          </w:p>
        </w:tc>
        <w:tc>
          <w:tcPr>
            <w:tcW w:w="389" w:type="pct"/>
            <w:vMerge w:val="restart"/>
            <w:tcBorders>
              <w:top w:val="single" w:sz="4" w:space="0" w:color="auto"/>
              <w:left w:val="single" w:sz="4" w:space="0" w:color="auto"/>
              <w:right w:val="single" w:sz="4" w:space="0" w:color="auto"/>
            </w:tcBorders>
          </w:tcPr>
          <w:p w:rsidR="005D4418" w:rsidRPr="00355BFD" w:rsidRDefault="005D4418" w:rsidP="001E114F">
            <w:pPr>
              <w:autoSpaceDE w:val="0"/>
              <w:autoSpaceDN w:val="0"/>
              <w:adjustRightInd w:val="0"/>
              <w:contextualSpacing/>
              <w:rPr>
                <w:sz w:val="20"/>
                <w:szCs w:val="20"/>
              </w:rPr>
            </w:pPr>
            <w:r w:rsidRPr="00355BFD">
              <w:rPr>
                <w:sz w:val="20"/>
                <w:szCs w:val="20"/>
              </w:rPr>
              <w:t>Шт.</w:t>
            </w:r>
          </w:p>
        </w:tc>
        <w:tc>
          <w:tcPr>
            <w:tcW w:w="385" w:type="pct"/>
            <w:vMerge w:val="restart"/>
            <w:tcBorders>
              <w:top w:val="single" w:sz="4" w:space="0" w:color="auto"/>
              <w:left w:val="single" w:sz="4" w:space="0" w:color="auto"/>
              <w:right w:val="single" w:sz="4" w:space="0" w:color="auto"/>
            </w:tcBorders>
          </w:tcPr>
          <w:p w:rsidR="005D4418" w:rsidRPr="00355BFD" w:rsidRDefault="005D4418" w:rsidP="001E114F">
            <w:pPr>
              <w:autoSpaceDE w:val="0"/>
              <w:autoSpaceDN w:val="0"/>
              <w:adjustRightInd w:val="0"/>
              <w:contextualSpacing/>
              <w:rPr>
                <w:sz w:val="20"/>
                <w:szCs w:val="20"/>
              </w:rPr>
            </w:pPr>
            <w:r>
              <w:rPr>
                <w:sz w:val="20"/>
                <w:szCs w:val="20"/>
              </w:rPr>
              <w:t>43 560</w:t>
            </w:r>
          </w:p>
        </w:tc>
      </w:tr>
      <w:tr w:rsidR="005D4418" w:rsidRPr="00355BFD" w:rsidTr="005D4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jc w:val="center"/>
        </w:trPr>
        <w:tc>
          <w:tcPr>
            <w:tcW w:w="239" w:type="pct"/>
            <w:vMerge/>
            <w:tcBorders>
              <w:top w:val="single" w:sz="4" w:space="0" w:color="000000"/>
              <w:left w:val="single" w:sz="4" w:space="0" w:color="000000"/>
              <w:right w:val="nil"/>
            </w:tcBorders>
          </w:tcPr>
          <w:p w:rsidR="005D4418" w:rsidRPr="00355BFD" w:rsidRDefault="005D4418" w:rsidP="001E114F">
            <w:pPr>
              <w:autoSpaceDE w:val="0"/>
              <w:autoSpaceDN w:val="0"/>
              <w:adjustRightInd w:val="0"/>
              <w:ind w:hanging="20"/>
              <w:contextualSpacing/>
              <w:jc w:val="center"/>
              <w:rPr>
                <w:sz w:val="20"/>
                <w:szCs w:val="20"/>
              </w:rPr>
            </w:pPr>
          </w:p>
        </w:tc>
        <w:tc>
          <w:tcPr>
            <w:tcW w:w="955" w:type="pct"/>
            <w:vMerge/>
            <w:tcBorders>
              <w:top w:val="single" w:sz="4" w:space="0" w:color="000000"/>
              <w:left w:val="single" w:sz="4" w:space="0" w:color="000000"/>
              <w:right w:val="nil"/>
            </w:tcBorders>
          </w:tcPr>
          <w:p w:rsidR="005D4418" w:rsidRPr="00355BFD" w:rsidRDefault="005D4418" w:rsidP="001E114F">
            <w:pPr>
              <w:suppressLineNumbers/>
              <w:autoSpaceDN w:val="0"/>
              <w:contextualSpacing/>
              <w:textAlignment w:val="baseline"/>
              <w:rPr>
                <w:sz w:val="20"/>
                <w:szCs w:val="20"/>
              </w:rPr>
            </w:pPr>
          </w:p>
        </w:tc>
        <w:tc>
          <w:tcPr>
            <w:tcW w:w="1147" w:type="pct"/>
            <w:tcBorders>
              <w:top w:val="single" w:sz="4" w:space="0" w:color="000000"/>
              <w:left w:val="single" w:sz="4" w:space="0" w:color="000000"/>
              <w:bottom w:val="single" w:sz="4" w:space="0" w:color="000000"/>
              <w:right w:val="nil"/>
            </w:tcBorders>
          </w:tcPr>
          <w:p w:rsidR="005D4418" w:rsidRPr="00355BFD" w:rsidRDefault="005D4418" w:rsidP="001E114F">
            <w:pPr>
              <w:suppressLineNumbers/>
              <w:autoSpaceDN w:val="0"/>
              <w:snapToGrid w:val="0"/>
              <w:contextualSpacing/>
              <w:textAlignment w:val="baseline"/>
              <w:rPr>
                <w:rFonts w:eastAsia="Andale Sans UI"/>
                <w:kern w:val="3"/>
                <w:sz w:val="19"/>
                <w:szCs w:val="19"/>
                <w:lang w:eastAsia="ja-JP" w:bidi="fa-IR"/>
              </w:rPr>
            </w:pPr>
            <w:r w:rsidRPr="00355BFD">
              <w:rPr>
                <w:rFonts w:eastAsia="Andale Sans UI"/>
                <w:kern w:val="3"/>
                <w:sz w:val="19"/>
                <w:szCs w:val="19"/>
                <w:lang w:eastAsia="ja-JP" w:bidi="fa-IR"/>
              </w:rPr>
              <w:t xml:space="preserve">- </w:t>
            </w:r>
            <w:r w:rsidRPr="00355BFD">
              <w:rPr>
                <w:sz w:val="20"/>
                <w:szCs w:val="20"/>
              </w:rPr>
              <w:t>адгезивное покрытие с готовым стартовым отверстием для вырезания</w:t>
            </w:r>
          </w:p>
        </w:tc>
        <w:tc>
          <w:tcPr>
            <w:tcW w:w="1180" w:type="pct"/>
            <w:tcBorders>
              <w:top w:val="single" w:sz="4" w:space="0" w:color="000000"/>
              <w:left w:val="single" w:sz="4" w:space="0" w:color="000000"/>
              <w:bottom w:val="single" w:sz="4" w:space="0" w:color="000000"/>
              <w:right w:val="nil"/>
            </w:tcBorders>
          </w:tcPr>
          <w:p w:rsidR="005D4418" w:rsidRPr="00355BFD" w:rsidRDefault="005D4418" w:rsidP="001E114F">
            <w:pPr>
              <w:suppressLineNumbers/>
              <w:autoSpaceDN w:val="0"/>
              <w:snapToGrid w:val="0"/>
              <w:contextualSpacing/>
              <w:textAlignment w:val="baseline"/>
              <w:rPr>
                <w:rFonts w:eastAsia="Andale Sans UI"/>
                <w:kern w:val="3"/>
                <w:sz w:val="19"/>
                <w:szCs w:val="19"/>
                <w:lang w:val="de-DE" w:eastAsia="ja-JP" w:bidi="fa-IR"/>
              </w:rPr>
            </w:pPr>
            <w:r w:rsidRPr="00355BFD">
              <w:rPr>
                <w:sz w:val="20"/>
                <w:szCs w:val="20"/>
              </w:rPr>
              <w:t>наличие</w:t>
            </w:r>
          </w:p>
        </w:tc>
        <w:tc>
          <w:tcPr>
            <w:tcW w:w="705" w:type="pct"/>
            <w:tcBorders>
              <w:top w:val="single" w:sz="4" w:space="0" w:color="000000"/>
              <w:left w:val="single" w:sz="4" w:space="0" w:color="000000"/>
              <w:bottom w:val="single" w:sz="4" w:space="0" w:color="000000"/>
              <w:right w:val="single" w:sz="4" w:space="0" w:color="auto"/>
            </w:tcBorders>
          </w:tcPr>
          <w:p w:rsidR="005D4418" w:rsidRPr="00355BFD" w:rsidRDefault="005D4418" w:rsidP="001E114F">
            <w:pPr>
              <w:suppressLineNumbers/>
              <w:autoSpaceDN w:val="0"/>
              <w:snapToGrid w:val="0"/>
              <w:contextualSpacing/>
              <w:textAlignment w:val="baseline"/>
              <w:rPr>
                <w:rFonts w:eastAsia="Andale Sans UI"/>
                <w:kern w:val="3"/>
                <w:sz w:val="19"/>
                <w:szCs w:val="19"/>
                <w:lang w:val="de-DE" w:eastAsia="ja-JP" w:bidi="fa-IR"/>
              </w:rPr>
            </w:pPr>
          </w:p>
        </w:tc>
        <w:tc>
          <w:tcPr>
            <w:tcW w:w="389" w:type="pct"/>
            <w:vMerge/>
            <w:tcBorders>
              <w:top w:val="single" w:sz="4" w:space="0" w:color="auto"/>
              <w:left w:val="single" w:sz="4" w:space="0" w:color="auto"/>
              <w:right w:val="single" w:sz="4" w:space="0" w:color="auto"/>
            </w:tcBorders>
          </w:tcPr>
          <w:p w:rsidR="005D4418" w:rsidRPr="00355BFD" w:rsidRDefault="005D4418" w:rsidP="001E114F">
            <w:pPr>
              <w:autoSpaceDE w:val="0"/>
              <w:autoSpaceDN w:val="0"/>
              <w:adjustRightInd w:val="0"/>
              <w:ind w:firstLine="77"/>
              <w:contextualSpacing/>
              <w:rPr>
                <w:sz w:val="20"/>
                <w:szCs w:val="20"/>
              </w:rPr>
            </w:pPr>
          </w:p>
        </w:tc>
        <w:tc>
          <w:tcPr>
            <w:tcW w:w="385" w:type="pct"/>
            <w:vMerge/>
            <w:tcBorders>
              <w:top w:val="single" w:sz="4" w:space="0" w:color="auto"/>
              <w:left w:val="single" w:sz="4" w:space="0" w:color="auto"/>
              <w:right w:val="single" w:sz="4" w:space="0" w:color="auto"/>
            </w:tcBorders>
          </w:tcPr>
          <w:p w:rsidR="005D4418" w:rsidRPr="00355BFD" w:rsidRDefault="005D4418" w:rsidP="001E114F">
            <w:pPr>
              <w:autoSpaceDE w:val="0"/>
              <w:autoSpaceDN w:val="0"/>
              <w:adjustRightInd w:val="0"/>
              <w:ind w:firstLine="77"/>
              <w:contextualSpacing/>
              <w:rPr>
                <w:sz w:val="20"/>
                <w:szCs w:val="20"/>
              </w:rPr>
            </w:pPr>
          </w:p>
        </w:tc>
      </w:tr>
      <w:tr w:rsidR="005D4418" w:rsidRPr="00355BFD" w:rsidTr="005D4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jc w:val="center"/>
        </w:trPr>
        <w:tc>
          <w:tcPr>
            <w:tcW w:w="239" w:type="pct"/>
            <w:vMerge/>
            <w:tcBorders>
              <w:top w:val="single" w:sz="4" w:space="0" w:color="000000"/>
              <w:left w:val="single" w:sz="4" w:space="0" w:color="000000"/>
              <w:right w:val="nil"/>
            </w:tcBorders>
          </w:tcPr>
          <w:p w:rsidR="005D4418" w:rsidRPr="00355BFD" w:rsidRDefault="005D4418" w:rsidP="001E114F">
            <w:pPr>
              <w:autoSpaceDE w:val="0"/>
              <w:autoSpaceDN w:val="0"/>
              <w:adjustRightInd w:val="0"/>
              <w:ind w:hanging="20"/>
              <w:contextualSpacing/>
              <w:jc w:val="center"/>
              <w:rPr>
                <w:sz w:val="20"/>
                <w:szCs w:val="20"/>
              </w:rPr>
            </w:pPr>
          </w:p>
        </w:tc>
        <w:tc>
          <w:tcPr>
            <w:tcW w:w="955" w:type="pct"/>
            <w:vMerge/>
            <w:tcBorders>
              <w:top w:val="single" w:sz="4" w:space="0" w:color="000000"/>
              <w:left w:val="single" w:sz="4" w:space="0" w:color="000000"/>
              <w:right w:val="nil"/>
            </w:tcBorders>
          </w:tcPr>
          <w:p w:rsidR="005D4418" w:rsidRPr="00355BFD" w:rsidRDefault="005D4418" w:rsidP="001E114F">
            <w:pPr>
              <w:suppressLineNumbers/>
              <w:autoSpaceDN w:val="0"/>
              <w:contextualSpacing/>
              <w:textAlignment w:val="baseline"/>
              <w:rPr>
                <w:sz w:val="20"/>
                <w:szCs w:val="20"/>
              </w:rPr>
            </w:pPr>
          </w:p>
        </w:tc>
        <w:tc>
          <w:tcPr>
            <w:tcW w:w="1147" w:type="pct"/>
            <w:tcBorders>
              <w:top w:val="single" w:sz="4" w:space="0" w:color="000000"/>
              <w:left w:val="single" w:sz="4" w:space="0" w:color="000000"/>
              <w:bottom w:val="single" w:sz="4" w:space="0" w:color="000000"/>
              <w:right w:val="nil"/>
            </w:tcBorders>
          </w:tcPr>
          <w:p w:rsidR="005D4418" w:rsidRPr="00355BFD" w:rsidRDefault="005D4418" w:rsidP="001E114F">
            <w:pPr>
              <w:suppressLineNumbers/>
              <w:autoSpaceDN w:val="0"/>
              <w:snapToGrid w:val="0"/>
              <w:contextualSpacing/>
              <w:textAlignment w:val="baseline"/>
              <w:rPr>
                <w:rFonts w:eastAsia="Andale Sans UI"/>
                <w:kern w:val="3"/>
                <w:sz w:val="19"/>
                <w:szCs w:val="19"/>
                <w:lang w:eastAsia="ja-JP" w:bidi="fa-IR"/>
              </w:rPr>
            </w:pPr>
            <w:r w:rsidRPr="00355BFD">
              <w:rPr>
                <w:rFonts w:eastAsia="Andale Sans UI"/>
                <w:kern w:val="3"/>
                <w:sz w:val="19"/>
                <w:szCs w:val="19"/>
                <w:lang w:eastAsia="ja-JP" w:bidi="fa-IR"/>
              </w:rPr>
              <w:t xml:space="preserve">-  шаблон для вырезания отверстия под </w:t>
            </w:r>
            <w:proofErr w:type="spellStart"/>
            <w:r w:rsidRPr="00355BFD">
              <w:rPr>
                <w:rFonts w:eastAsia="Andale Sans UI"/>
                <w:kern w:val="3"/>
                <w:sz w:val="19"/>
                <w:szCs w:val="19"/>
                <w:lang w:eastAsia="ja-JP" w:bidi="fa-IR"/>
              </w:rPr>
              <w:t>стому</w:t>
            </w:r>
            <w:proofErr w:type="spellEnd"/>
            <w:r w:rsidRPr="00355BFD">
              <w:rPr>
                <w:rFonts w:eastAsia="Andale Sans UI"/>
                <w:kern w:val="3"/>
                <w:sz w:val="19"/>
                <w:szCs w:val="19"/>
                <w:lang w:eastAsia="ja-JP" w:bidi="fa-IR"/>
              </w:rPr>
              <w:t xml:space="preserve">  </w:t>
            </w:r>
          </w:p>
        </w:tc>
        <w:tc>
          <w:tcPr>
            <w:tcW w:w="1180" w:type="pct"/>
            <w:tcBorders>
              <w:top w:val="single" w:sz="4" w:space="0" w:color="000000"/>
              <w:left w:val="single" w:sz="4" w:space="0" w:color="000000"/>
              <w:bottom w:val="single" w:sz="4" w:space="0" w:color="000000"/>
              <w:right w:val="nil"/>
            </w:tcBorders>
          </w:tcPr>
          <w:p w:rsidR="005D4418" w:rsidRPr="00355BFD" w:rsidRDefault="005D4418" w:rsidP="001E114F">
            <w:pPr>
              <w:suppressLineNumbers/>
              <w:autoSpaceDN w:val="0"/>
              <w:snapToGrid w:val="0"/>
              <w:contextualSpacing/>
              <w:textAlignment w:val="baseline"/>
              <w:rPr>
                <w:rFonts w:eastAsia="Andale Sans UI"/>
                <w:kern w:val="3"/>
                <w:sz w:val="19"/>
                <w:szCs w:val="19"/>
                <w:lang w:val="de-DE" w:eastAsia="ja-JP" w:bidi="fa-IR"/>
              </w:rPr>
            </w:pPr>
            <w:r w:rsidRPr="00355BFD">
              <w:rPr>
                <w:sz w:val="20"/>
                <w:szCs w:val="20"/>
              </w:rPr>
              <w:t>наличие</w:t>
            </w:r>
          </w:p>
        </w:tc>
        <w:tc>
          <w:tcPr>
            <w:tcW w:w="705" w:type="pct"/>
            <w:tcBorders>
              <w:top w:val="single" w:sz="4" w:space="0" w:color="000000"/>
              <w:left w:val="single" w:sz="4" w:space="0" w:color="000000"/>
              <w:bottom w:val="single" w:sz="4" w:space="0" w:color="000000"/>
              <w:right w:val="single" w:sz="4" w:space="0" w:color="auto"/>
            </w:tcBorders>
          </w:tcPr>
          <w:p w:rsidR="005D4418" w:rsidRPr="00355BFD" w:rsidRDefault="005D4418" w:rsidP="001E114F">
            <w:pPr>
              <w:suppressLineNumbers/>
              <w:autoSpaceDN w:val="0"/>
              <w:snapToGrid w:val="0"/>
              <w:contextualSpacing/>
              <w:textAlignment w:val="baseline"/>
              <w:rPr>
                <w:rFonts w:eastAsia="Andale Sans UI"/>
                <w:kern w:val="3"/>
                <w:sz w:val="19"/>
                <w:szCs w:val="19"/>
                <w:lang w:val="de-DE" w:eastAsia="ja-JP" w:bidi="fa-IR"/>
              </w:rPr>
            </w:pPr>
          </w:p>
        </w:tc>
        <w:tc>
          <w:tcPr>
            <w:tcW w:w="389" w:type="pct"/>
            <w:vMerge/>
            <w:tcBorders>
              <w:top w:val="single" w:sz="4" w:space="0" w:color="auto"/>
              <w:left w:val="single" w:sz="4" w:space="0" w:color="auto"/>
              <w:right w:val="single" w:sz="4" w:space="0" w:color="auto"/>
            </w:tcBorders>
          </w:tcPr>
          <w:p w:rsidR="005D4418" w:rsidRPr="00355BFD" w:rsidRDefault="005D4418" w:rsidP="001E114F">
            <w:pPr>
              <w:autoSpaceDE w:val="0"/>
              <w:autoSpaceDN w:val="0"/>
              <w:adjustRightInd w:val="0"/>
              <w:ind w:firstLine="77"/>
              <w:contextualSpacing/>
              <w:rPr>
                <w:sz w:val="20"/>
                <w:szCs w:val="20"/>
              </w:rPr>
            </w:pPr>
          </w:p>
        </w:tc>
        <w:tc>
          <w:tcPr>
            <w:tcW w:w="385" w:type="pct"/>
            <w:vMerge/>
            <w:tcBorders>
              <w:top w:val="single" w:sz="4" w:space="0" w:color="auto"/>
              <w:left w:val="single" w:sz="4" w:space="0" w:color="auto"/>
              <w:right w:val="single" w:sz="4" w:space="0" w:color="auto"/>
            </w:tcBorders>
          </w:tcPr>
          <w:p w:rsidR="005D4418" w:rsidRPr="00355BFD" w:rsidRDefault="005D4418" w:rsidP="001E114F">
            <w:pPr>
              <w:autoSpaceDE w:val="0"/>
              <w:autoSpaceDN w:val="0"/>
              <w:adjustRightInd w:val="0"/>
              <w:ind w:firstLine="77"/>
              <w:contextualSpacing/>
              <w:rPr>
                <w:sz w:val="20"/>
                <w:szCs w:val="20"/>
              </w:rPr>
            </w:pPr>
          </w:p>
        </w:tc>
      </w:tr>
      <w:tr w:rsidR="005D4418" w:rsidRPr="00355BFD" w:rsidTr="005D4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jc w:val="center"/>
        </w:trPr>
        <w:tc>
          <w:tcPr>
            <w:tcW w:w="239" w:type="pct"/>
            <w:vMerge/>
            <w:tcBorders>
              <w:top w:val="single" w:sz="4" w:space="0" w:color="000000"/>
              <w:left w:val="single" w:sz="4" w:space="0" w:color="000000"/>
              <w:right w:val="nil"/>
            </w:tcBorders>
          </w:tcPr>
          <w:p w:rsidR="005D4418" w:rsidRPr="00355BFD" w:rsidRDefault="005D4418" w:rsidP="001E114F">
            <w:pPr>
              <w:autoSpaceDE w:val="0"/>
              <w:autoSpaceDN w:val="0"/>
              <w:adjustRightInd w:val="0"/>
              <w:ind w:hanging="20"/>
              <w:contextualSpacing/>
              <w:jc w:val="center"/>
              <w:rPr>
                <w:sz w:val="20"/>
                <w:szCs w:val="20"/>
              </w:rPr>
            </w:pPr>
          </w:p>
        </w:tc>
        <w:tc>
          <w:tcPr>
            <w:tcW w:w="955" w:type="pct"/>
            <w:vMerge/>
            <w:tcBorders>
              <w:top w:val="single" w:sz="4" w:space="0" w:color="000000"/>
              <w:left w:val="single" w:sz="4" w:space="0" w:color="000000"/>
              <w:right w:val="nil"/>
            </w:tcBorders>
          </w:tcPr>
          <w:p w:rsidR="005D4418" w:rsidRPr="00355BFD" w:rsidRDefault="005D4418" w:rsidP="001E114F">
            <w:pPr>
              <w:suppressLineNumbers/>
              <w:autoSpaceDN w:val="0"/>
              <w:contextualSpacing/>
              <w:textAlignment w:val="baseline"/>
              <w:rPr>
                <w:sz w:val="20"/>
                <w:szCs w:val="20"/>
              </w:rPr>
            </w:pPr>
          </w:p>
        </w:tc>
        <w:tc>
          <w:tcPr>
            <w:tcW w:w="1147" w:type="pct"/>
            <w:tcBorders>
              <w:top w:val="single" w:sz="4" w:space="0" w:color="000000"/>
              <w:left w:val="single" w:sz="4" w:space="0" w:color="000000"/>
              <w:bottom w:val="single" w:sz="4" w:space="0" w:color="000000"/>
              <w:right w:val="nil"/>
            </w:tcBorders>
          </w:tcPr>
          <w:p w:rsidR="005D4418" w:rsidRPr="00355BFD" w:rsidRDefault="005D4418" w:rsidP="001E114F">
            <w:pPr>
              <w:suppressLineNumbers/>
              <w:autoSpaceDN w:val="0"/>
              <w:snapToGrid w:val="0"/>
              <w:contextualSpacing/>
              <w:textAlignment w:val="baseline"/>
              <w:rPr>
                <w:rFonts w:eastAsia="Andale Sans UI"/>
                <w:kern w:val="3"/>
                <w:sz w:val="19"/>
                <w:szCs w:val="19"/>
                <w:lang w:val="de-DE" w:eastAsia="ja-JP" w:bidi="fa-IR"/>
              </w:rPr>
            </w:pPr>
            <w:r w:rsidRPr="00355BFD">
              <w:rPr>
                <w:rFonts w:eastAsia="Andale Sans UI"/>
                <w:kern w:val="3"/>
                <w:sz w:val="19"/>
                <w:szCs w:val="19"/>
                <w:lang w:eastAsia="ja-JP" w:bidi="fa-IR"/>
              </w:rPr>
              <w:t>- адгезивная пластина гибкая, легко подстраиваемая к форме живота.</w:t>
            </w:r>
          </w:p>
        </w:tc>
        <w:tc>
          <w:tcPr>
            <w:tcW w:w="1180" w:type="pct"/>
            <w:tcBorders>
              <w:top w:val="single" w:sz="4" w:space="0" w:color="000000"/>
              <w:left w:val="single" w:sz="4" w:space="0" w:color="000000"/>
              <w:bottom w:val="single" w:sz="4" w:space="0" w:color="000000"/>
              <w:right w:val="nil"/>
            </w:tcBorders>
          </w:tcPr>
          <w:p w:rsidR="005D4418" w:rsidRPr="00355BFD" w:rsidRDefault="005D4418" w:rsidP="001E114F">
            <w:pPr>
              <w:suppressLineNumbers/>
              <w:autoSpaceDN w:val="0"/>
              <w:snapToGrid w:val="0"/>
              <w:contextualSpacing/>
              <w:textAlignment w:val="baseline"/>
              <w:rPr>
                <w:rFonts w:eastAsia="Andale Sans UI"/>
                <w:kern w:val="3"/>
                <w:sz w:val="19"/>
                <w:szCs w:val="19"/>
                <w:lang w:val="de-DE" w:eastAsia="ja-JP" w:bidi="fa-IR"/>
              </w:rPr>
            </w:pPr>
            <w:r w:rsidRPr="00355BFD">
              <w:rPr>
                <w:sz w:val="20"/>
                <w:szCs w:val="20"/>
              </w:rPr>
              <w:t>соответствует</w:t>
            </w:r>
          </w:p>
        </w:tc>
        <w:tc>
          <w:tcPr>
            <w:tcW w:w="705" w:type="pct"/>
            <w:tcBorders>
              <w:top w:val="single" w:sz="4" w:space="0" w:color="000000"/>
              <w:left w:val="single" w:sz="4" w:space="0" w:color="000000"/>
              <w:bottom w:val="single" w:sz="4" w:space="0" w:color="000000"/>
              <w:right w:val="single" w:sz="4" w:space="0" w:color="auto"/>
            </w:tcBorders>
          </w:tcPr>
          <w:p w:rsidR="005D4418" w:rsidRPr="00355BFD" w:rsidRDefault="005D4418" w:rsidP="001E114F">
            <w:pPr>
              <w:suppressLineNumbers/>
              <w:autoSpaceDN w:val="0"/>
              <w:snapToGrid w:val="0"/>
              <w:contextualSpacing/>
              <w:textAlignment w:val="baseline"/>
              <w:rPr>
                <w:rFonts w:eastAsia="Andale Sans UI"/>
                <w:kern w:val="3"/>
                <w:sz w:val="19"/>
                <w:szCs w:val="19"/>
                <w:lang w:val="de-DE" w:eastAsia="ja-JP" w:bidi="fa-IR"/>
              </w:rPr>
            </w:pPr>
          </w:p>
        </w:tc>
        <w:tc>
          <w:tcPr>
            <w:tcW w:w="389" w:type="pct"/>
            <w:vMerge/>
            <w:tcBorders>
              <w:top w:val="single" w:sz="4" w:space="0" w:color="auto"/>
              <w:left w:val="single" w:sz="4" w:space="0" w:color="auto"/>
              <w:right w:val="single" w:sz="4" w:space="0" w:color="auto"/>
            </w:tcBorders>
          </w:tcPr>
          <w:p w:rsidR="005D4418" w:rsidRPr="00355BFD" w:rsidRDefault="005D4418" w:rsidP="001E114F">
            <w:pPr>
              <w:autoSpaceDE w:val="0"/>
              <w:autoSpaceDN w:val="0"/>
              <w:adjustRightInd w:val="0"/>
              <w:ind w:firstLine="77"/>
              <w:contextualSpacing/>
              <w:rPr>
                <w:sz w:val="20"/>
                <w:szCs w:val="20"/>
              </w:rPr>
            </w:pPr>
          </w:p>
        </w:tc>
        <w:tc>
          <w:tcPr>
            <w:tcW w:w="385" w:type="pct"/>
            <w:vMerge/>
            <w:tcBorders>
              <w:top w:val="single" w:sz="4" w:space="0" w:color="auto"/>
              <w:left w:val="single" w:sz="4" w:space="0" w:color="auto"/>
              <w:right w:val="single" w:sz="4" w:space="0" w:color="auto"/>
            </w:tcBorders>
          </w:tcPr>
          <w:p w:rsidR="005D4418" w:rsidRPr="00355BFD" w:rsidRDefault="005D4418" w:rsidP="001E114F">
            <w:pPr>
              <w:autoSpaceDE w:val="0"/>
              <w:autoSpaceDN w:val="0"/>
              <w:adjustRightInd w:val="0"/>
              <w:ind w:firstLine="77"/>
              <w:contextualSpacing/>
              <w:rPr>
                <w:sz w:val="20"/>
                <w:szCs w:val="20"/>
              </w:rPr>
            </w:pPr>
          </w:p>
        </w:tc>
      </w:tr>
      <w:tr w:rsidR="005D4418" w:rsidRPr="00355BFD" w:rsidTr="005D4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jc w:val="center"/>
        </w:trPr>
        <w:tc>
          <w:tcPr>
            <w:tcW w:w="239" w:type="pct"/>
            <w:vMerge/>
            <w:tcBorders>
              <w:top w:val="single" w:sz="4" w:space="0" w:color="000000"/>
              <w:left w:val="single" w:sz="4" w:space="0" w:color="000000"/>
              <w:right w:val="nil"/>
            </w:tcBorders>
          </w:tcPr>
          <w:p w:rsidR="005D4418" w:rsidRPr="00355BFD" w:rsidRDefault="005D4418" w:rsidP="001E114F">
            <w:pPr>
              <w:autoSpaceDE w:val="0"/>
              <w:autoSpaceDN w:val="0"/>
              <w:adjustRightInd w:val="0"/>
              <w:ind w:hanging="20"/>
              <w:contextualSpacing/>
              <w:jc w:val="center"/>
              <w:rPr>
                <w:sz w:val="20"/>
                <w:szCs w:val="20"/>
              </w:rPr>
            </w:pPr>
          </w:p>
        </w:tc>
        <w:tc>
          <w:tcPr>
            <w:tcW w:w="955" w:type="pct"/>
            <w:vMerge/>
            <w:tcBorders>
              <w:top w:val="single" w:sz="4" w:space="0" w:color="000000"/>
              <w:left w:val="single" w:sz="4" w:space="0" w:color="000000"/>
              <w:right w:val="nil"/>
            </w:tcBorders>
          </w:tcPr>
          <w:p w:rsidR="005D4418" w:rsidRPr="00355BFD" w:rsidRDefault="005D4418" w:rsidP="001E114F">
            <w:pPr>
              <w:suppressLineNumbers/>
              <w:autoSpaceDN w:val="0"/>
              <w:contextualSpacing/>
              <w:textAlignment w:val="baseline"/>
              <w:rPr>
                <w:sz w:val="20"/>
                <w:szCs w:val="20"/>
              </w:rPr>
            </w:pPr>
          </w:p>
        </w:tc>
        <w:tc>
          <w:tcPr>
            <w:tcW w:w="1147" w:type="pct"/>
            <w:tcBorders>
              <w:top w:val="single" w:sz="4" w:space="0" w:color="000000"/>
              <w:left w:val="single" w:sz="4" w:space="0" w:color="000000"/>
              <w:bottom w:val="single" w:sz="4" w:space="0" w:color="000000"/>
              <w:right w:val="nil"/>
            </w:tcBorders>
          </w:tcPr>
          <w:p w:rsidR="005D4418" w:rsidRPr="00355BFD" w:rsidRDefault="005D4418" w:rsidP="001E114F">
            <w:pPr>
              <w:suppressLineNumbers/>
              <w:autoSpaceDN w:val="0"/>
              <w:snapToGrid w:val="0"/>
              <w:contextualSpacing/>
              <w:textAlignment w:val="baseline"/>
              <w:rPr>
                <w:rFonts w:eastAsia="Andale Sans UI"/>
                <w:kern w:val="3"/>
                <w:sz w:val="19"/>
                <w:szCs w:val="19"/>
                <w:lang w:eastAsia="ja-JP" w:bidi="fa-IR"/>
              </w:rPr>
            </w:pPr>
            <w:r w:rsidRPr="00355BFD">
              <w:rPr>
                <w:rFonts w:eastAsia="Andale Sans UI"/>
                <w:kern w:val="3"/>
                <w:sz w:val="19"/>
                <w:szCs w:val="19"/>
                <w:lang w:eastAsia="ja-JP" w:bidi="fa-IR"/>
              </w:rPr>
              <w:t xml:space="preserve">- минимально вырезаемое отверстие под </w:t>
            </w:r>
            <w:proofErr w:type="spellStart"/>
            <w:r w:rsidRPr="00355BFD">
              <w:rPr>
                <w:rFonts w:eastAsia="Andale Sans UI"/>
                <w:kern w:val="3"/>
                <w:sz w:val="19"/>
                <w:szCs w:val="19"/>
                <w:lang w:eastAsia="ja-JP" w:bidi="fa-IR"/>
              </w:rPr>
              <w:t>стому</w:t>
            </w:r>
            <w:proofErr w:type="spellEnd"/>
            <w:r w:rsidRPr="00355BFD">
              <w:rPr>
                <w:rFonts w:eastAsia="Andale Sans UI"/>
                <w:kern w:val="3"/>
                <w:sz w:val="19"/>
                <w:szCs w:val="19"/>
                <w:lang w:eastAsia="ja-JP" w:bidi="fa-IR"/>
              </w:rPr>
              <w:t xml:space="preserve"> на пластине мм</w:t>
            </w:r>
          </w:p>
        </w:tc>
        <w:tc>
          <w:tcPr>
            <w:tcW w:w="1180" w:type="pct"/>
            <w:tcBorders>
              <w:top w:val="single" w:sz="4" w:space="0" w:color="000000"/>
              <w:left w:val="single" w:sz="4" w:space="0" w:color="000000"/>
              <w:bottom w:val="single" w:sz="4" w:space="0" w:color="000000"/>
              <w:right w:val="nil"/>
            </w:tcBorders>
          </w:tcPr>
          <w:p w:rsidR="005D4418" w:rsidRPr="00355BFD" w:rsidRDefault="005D4418" w:rsidP="001E114F">
            <w:pPr>
              <w:suppressLineNumbers/>
              <w:autoSpaceDN w:val="0"/>
              <w:snapToGrid w:val="0"/>
              <w:contextualSpacing/>
              <w:textAlignment w:val="baseline"/>
              <w:rPr>
                <w:sz w:val="20"/>
                <w:szCs w:val="20"/>
              </w:rPr>
            </w:pPr>
          </w:p>
        </w:tc>
        <w:tc>
          <w:tcPr>
            <w:tcW w:w="705" w:type="pct"/>
            <w:tcBorders>
              <w:top w:val="single" w:sz="4" w:space="0" w:color="000000"/>
              <w:left w:val="single" w:sz="4" w:space="0" w:color="000000"/>
              <w:bottom w:val="single" w:sz="4" w:space="0" w:color="000000"/>
              <w:right w:val="single" w:sz="4" w:space="0" w:color="auto"/>
            </w:tcBorders>
          </w:tcPr>
          <w:p w:rsidR="005D4418" w:rsidRPr="00355BFD" w:rsidRDefault="005D4418" w:rsidP="001E114F">
            <w:pPr>
              <w:suppressLineNumbers/>
              <w:autoSpaceDN w:val="0"/>
              <w:snapToGrid w:val="0"/>
              <w:contextualSpacing/>
              <w:textAlignment w:val="baseline"/>
              <w:rPr>
                <w:rFonts w:eastAsia="Andale Sans UI"/>
                <w:kern w:val="3"/>
                <w:sz w:val="19"/>
                <w:szCs w:val="19"/>
                <w:lang w:eastAsia="ja-JP" w:bidi="fa-IR"/>
              </w:rPr>
            </w:pPr>
            <w:r w:rsidRPr="00355BFD">
              <w:rPr>
                <w:rFonts w:eastAsia="Andale Sans UI"/>
                <w:kern w:val="3"/>
                <w:sz w:val="19"/>
                <w:szCs w:val="19"/>
                <w:lang w:eastAsia="ja-JP" w:bidi="fa-IR"/>
              </w:rPr>
              <w:t>Не более 20</w:t>
            </w:r>
          </w:p>
        </w:tc>
        <w:tc>
          <w:tcPr>
            <w:tcW w:w="389" w:type="pct"/>
            <w:vMerge/>
            <w:tcBorders>
              <w:top w:val="single" w:sz="4" w:space="0" w:color="auto"/>
              <w:left w:val="single" w:sz="4" w:space="0" w:color="auto"/>
              <w:right w:val="single" w:sz="4" w:space="0" w:color="auto"/>
            </w:tcBorders>
          </w:tcPr>
          <w:p w:rsidR="005D4418" w:rsidRPr="00355BFD" w:rsidRDefault="005D4418" w:rsidP="001E114F">
            <w:pPr>
              <w:autoSpaceDE w:val="0"/>
              <w:autoSpaceDN w:val="0"/>
              <w:adjustRightInd w:val="0"/>
              <w:ind w:firstLine="77"/>
              <w:contextualSpacing/>
              <w:rPr>
                <w:sz w:val="20"/>
                <w:szCs w:val="20"/>
              </w:rPr>
            </w:pPr>
          </w:p>
        </w:tc>
        <w:tc>
          <w:tcPr>
            <w:tcW w:w="385" w:type="pct"/>
            <w:vMerge/>
            <w:tcBorders>
              <w:top w:val="single" w:sz="4" w:space="0" w:color="auto"/>
              <w:left w:val="single" w:sz="4" w:space="0" w:color="auto"/>
              <w:right w:val="single" w:sz="4" w:space="0" w:color="auto"/>
            </w:tcBorders>
          </w:tcPr>
          <w:p w:rsidR="005D4418" w:rsidRPr="00355BFD" w:rsidRDefault="005D4418" w:rsidP="001E114F">
            <w:pPr>
              <w:autoSpaceDE w:val="0"/>
              <w:autoSpaceDN w:val="0"/>
              <w:adjustRightInd w:val="0"/>
              <w:ind w:firstLine="77"/>
              <w:contextualSpacing/>
              <w:rPr>
                <w:sz w:val="20"/>
                <w:szCs w:val="20"/>
              </w:rPr>
            </w:pPr>
          </w:p>
        </w:tc>
      </w:tr>
      <w:tr w:rsidR="005D4418" w:rsidRPr="00355BFD" w:rsidTr="005D4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jc w:val="center"/>
        </w:trPr>
        <w:tc>
          <w:tcPr>
            <w:tcW w:w="239" w:type="pct"/>
            <w:vMerge/>
            <w:tcBorders>
              <w:top w:val="single" w:sz="4" w:space="0" w:color="000000"/>
              <w:left w:val="single" w:sz="4" w:space="0" w:color="000000"/>
              <w:right w:val="nil"/>
            </w:tcBorders>
          </w:tcPr>
          <w:p w:rsidR="005D4418" w:rsidRPr="00355BFD" w:rsidRDefault="005D4418" w:rsidP="001E114F">
            <w:pPr>
              <w:autoSpaceDE w:val="0"/>
              <w:autoSpaceDN w:val="0"/>
              <w:adjustRightInd w:val="0"/>
              <w:ind w:hanging="20"/>
              <w:contextualSpacing/>
              <w:jc w:val="center"/>
              <w:rPr>
                <w:sz w:val="20"/>
                <w:szCs w:val="20"/>
              </w:rPr>
            </w:pPr>
          </w:p>
        </w:tc>
        <w:tc>
          <w:tcPr>
            <w:tcW w:w="955" w:type="pct"/>
            <w:vMerge/>
            <w:tcBorders>
              <w:top w:val="single" w:sz="4" w:space="0" w:color="000000"/>
              <w:left w:val="single" w:sz="4" w:space="0" w:color="000000"/>
              <w:right w:val="nil"/>
            </w:tcBorders>
          </w:tcPr>
          <w:p w:rsidR="005D4418" w:rsidRPr="00355BFD" w:rsidRDefault="005D4418" w:rsidP="001E114F">
            <w:pPr>
              <w:suppressLineNumbers/>
              <w:autoSpaceDN w:val="0"/>
              <w:contextualSpacing/>
              <w:textAlignment w:val="baseline"/>
              <w:rPr>
                <w:sz w:val="20"/>
                <w:szCs w:val="20"/>
              </w:rPr>
            </w:pPr>
          </w:p>
        </w:tc>
        <w:tc>
          <w:tcPr>
            <w:tcW w:w="1147" w:type="pct"/>
            <w:tcBorders>
              <w:top w:val="single" w:sz="4" w:space="0" w:color="000000"/>
              <w:left w:val="single" w:sz="4" w:space="0" w:color="000000"/>
              <w:bottom w:val="single" w:sz="4" w:space="0" w:color="000000"/>
              <w:right w:val="nil"/>
            </w:tcBorders>
          </w:tcPr>
          <w:p w:rsidR="005D4418" w:rsidRPr="00355BFD" w:rsidRDefault="005D4418" w:rsidP="001E114F">
            <w:pPr>
              <w:suppressLineNumbers/>
              <w:autoSpaceDN w:val="0"/>
              <w:snapToGrid w:val="0"/>
              <w:contextualSpacing/>
              <w:textAlignment w:val="baseline"/>
              <w:rPr>
                <w:rFonts w:eastAsia="Andale Sans UI"/>
                <w:kern w:val="3"/>
                <w:sz w:val="19"/>
                <w:szCs w:val="19"/>
                <w:lang w:eastAsia="ja-JP" w:bidi="fa-IR"/>
              </w:rPr>
            </w:pPr>
            <w:r w:rsidRPr="00355BFD">
              <w:rPr>
                <w:rFonts w:eastAsia="Andale Sans UI"/>
                <w:kern w:val="3"/>
                <w:sz w:val="19"/>
                <w:szCs w:val="19"/>
                <w:lang w:eastAsia="ja-JP" w:bidi="fa-IR"/>
              </w:rPr>
              <w:t>- м</w:t>
            </w:r>
            <w:proofErr w:type="spellStart"/>
            <w:r w:rsidRPr="00355BFD">
              <w:rPr>
                <w:rFonts w:eastAsia="Andale Sans UI"/>
                <w:kern w:val="3"/>
                <w:sz w:val="19"/>
                <w:szCs w:val="19"/>
                <w:lang w:val="de-DE" w:eastAsia="ja-JP" w:bidi="fa-IR"/>
              </w:rPr>
              <w:t>аксимально</w:t>
            </w:r>
            <w:proofErr w:type="spellEnd"/>
            <w:r w:rsidRPr="00355BFD">
              <w:rPr>
                <w:rFonts w:eastAsia="Andale Sans UI"/>
                <w:kern w:val="3"/>
                <w:sz w:val="19"/>
                <w:szCs w:val="19"/>
                <w:lang w:val="de-DE" w:eastAsia="ja-JP" w:bidi="fa-IR"/>
              </w:rPr>
              <w:t xml:space="preserve"> </w:t>
            </w:r>
            <w:proofErr w:type="spellStart"/>
            <w:r w:rsidRPr="00355BFD">
              <w:rPr>
                <w:rFonts w:eastAsia="Andale Sans UI"/>
                <w:kern w:val="3"/>
                <w:sz w:val="19"/>
                <w:szCs w:val="19"/>
                <w:lang w:val="de-DE" w:eastAsia="ja-JP" w:bidi="fa-IR"/>
              </w:rPr>
              <w:t>вырезаемое</w:t>
            </w:r>
            <w:proofErr w:type="spellEnd"/>
            <w:r w:rsidRPr="00355BFD">
              <w:rPr>
                <w:rFonts w:eastAsia="Andale Sans UI"/>
                <w:kern w:val="3"/>
                <w:sz w:val="19"/>
                <w:szCs w:val="19"/>
                <w:lang w:val="de-DE" w:eastAsia="ja-JP" w:bidi="fa-IR"/>
              </w:rPr>
              <w:t xml:space="preserve"> </w:t>
            </w:r>
            <w:proofErr w:type="spellStart"/>
            <w:r w:rsidRPr="00355BFD">
              <w:rPr>
                <w:rFonts w:eastAsia="Andale Sans UI"/>
                <w:kern w:val="3"/>
                <w:sz w:val="19"/>
                <w:szCs w:val="19"/>
                <w:lang w:val="de-DE" w:eastAsia="ja-JP" w:bidi="fa-IR"/>
              </w:rPr>
              <w:t>отверстие</w:t>
            </w:r>
            <w:proofErr w:type="spellEnd"/>
            <w:r w:rsidRPr="00355BFD">
              <w:rPr>
                <w:rFonts w:eastAsia="Andale Sans UI"/>
                <w:kern w:val="3"/>
                <w:sz w:val="19"/>
                <w:szCs w:val="19"/>
                <w:lang w:val="de-DE" w:eastAsia="ja-JP" w:bidi="fa-IR"/>
              </w:rPr>
              <w:t xml:space="preserve"> </w:t>
            </w:r>
            <w:proofErr w:type="spellStart"/>
            <w:r w:rsidRPr="00355BFD">
              <w:rPr>
                <w:rFonts w:eastAsia="Andale Sans UI"/>
                <w:kern w:val="3"/>
                <w:sz w:val="19"/>
                <w:szCs w:val="19"/>
                <w:lang w:val="de-DE" w:eastAsia="ja-JP" w:bidi="fa-IR"/>
              </w:rPr>
              <w:t>под</w:t>
            </w:r>
            <w:proofErr w:type="spellEnd"/>
            <w:r w:rsidRPr="00355BFD">
              <w:rPr>
                <w:rFonts w:eastAsia="Andale Sans UI"/>
                <w:kern w:val="3"/>
                <w:sz w:val="19"/>
                <w:szCs w:val="19"/>
                <w:lang w:val="de-DE" w:eastAsia="ja-JP" w:bidi="fa-IR"/>
              </w:rPr>
              <w:t xml:space="preserve"> </w:t>
            </w:r>
            <w:proofErr w:type="spellStart"/>
            <w:r w:rsidRPr="00355BFD">
              <w:rPr>
                <w:rFonts w:eastAsia="Andale Sans UI"/>
                <w:kern w:val="3"/>
                <w:sz w:val="19"/>
                <w:szCs w:val="19"/>
                <w:lang w:val="de-DE" w:eastAsia="ja-JP" w:bidi="fa-IR"/>
              </w:rPr>
              <w:t>стому</w:t>
            </w:r>
            <w:proofErr w:type="spellEnd"/>
            <w:r w:rsidRPr="00355BFD">
              <w:rPr>
                <w:rFonts w:eastAsia="Andale Sans UI"/>
                <w:kern w:val="3"/>
                <w:sz w:val="19"/>
                <w:szCs w:val="19"/>
                <w:lang w:val="de-DE" w:eastAsia="ja-JP" w:bidi="fa-IR"/>
              </w:rPr>
              <w:t xml:space="preserve"> </w:t>
            </w:r>
            <w:proofErr w:type="spellStart"/>
            <w:r w:rsidRPr="00355BFD">
              <w:rPr>
                <w:rFonts w:eastAsia="Andale Sans UI"/>
                <w:kern w:val="3"/>
                <w:sz w:val="19"/>
                <w:szCs w:val="19"/>
                <w:lang w:val="de-DE" w:eastAsia="ja-JP" w:bidi="fa-IR"/>
              </w:rPr>
              <w:t>на</w:t>
            </w:r>
            <w:proofErr w:type="spellEnd"/>
            <w:r w:rsidRPr="00355BFD">
              <w:rPr>
                <w:rFonts w:eastAsia="Andale Sans UI"/>
                <w:kern w:val="3"/>
                <w:sz w:val="19"/>
                <w:szCs w:val="19"/>
                <w:lang w:val="de-DE" w:eastAsia="ja-JP" w:bidi="fa-IR"/>
              </w:rPr>
              <w:t xml:space="preserve"> </w:t>
            </w:r>
            <w:proofErr w:type="spellStart"/>
            <w:r w:rsidRPr="00355BFD">
              <w:rPr>
                <w:rFonts w:eastAsia="Andale Sans UI"/>
                <w:kern w:val="3"/>
                <w:sz w:val="19"/>
                <w:szCs w:val="19"/>
                <w:lang w:val="de-DE" w:eastAsia="ja-JP" w:bidi="fa-IR"/>
              </w:rPr>
              <w:t>пластине</w:t>
            </w:r>
            <w:proofErr w:type="spellEnd"/>
            <w:r w:rsidRPr="00355BFD">
              <w:rPr>
                <w:rFonts w:eastAsia="Andale Sans UI"/>
                <w:kern w:val="3"/>
                <w:sz w:val="19"/>
                <w:szCs w:val="19"/>
                <w:lang w:eastAsia="ja-JP" w:bidi="fa-IR"/>
              </w:rPr>
              <w:t>,</w:t>
            </w:r>
            <w:r w:rsidRPr="00355BFD">
              <w:rPr>
                <w:rFonts w:eastAsia="Andale Sans UI"/>
                <w:kern w:val="3"/>
                <w:sz w:val="19"/>
                <w:szCs w:val="19"/>
                <w:lang w:val="de-DE" w:eastAsia="ja-JP" w:bidi="fa-IR"/>
              </w:rPr>
              <w:t xml:space="preserve"> </w:t>
            </w:r>
            <w:r w:rsidRPr="00355BFD">
              <w:rPr>
                <w:rFonts w:eastAsia="Andale Sans UI"/>
                <w:kern w:val="3"/>
                <w:sz w:val="19"/>
                <w:szCs w:val="19"/>
                <w:lang w:eastAsia="ja-JP" w:bidi="fa-IR"/>
              </w:rPr>
              <w:t>мм</w:t>
            </w:r>
          </w:p>
        </w:tc>
        <w:tc>
          <w:tcPr>
            <w:tcW w:w="1180" w:type="pct"/>
            <w:tcBorders>
              <w:top w:val="single" w:sz="4" w:space="0" w:color="000000"/>
              <w:left w:val="single" w:sz="4" w:space="0" w:color="000000"/>
              <w:bottom w:val="single" w:sz="4" w:space="0" w:color="000000"/>
              <w:right w:val="nil"/>
            </w:tcBorders>
          </w:tcPr>
          <w:p w:rsidR="005D4418" w:rsidRPr="00355BFD" w:rsidRDefault="005D4418" w:rsidP="001E114F">
            <w:pPr>
              <w:suppressLineNumbers/>
              <w:autoSpaceDN w:val="0"/>
              <w:snapToGrid w:val="0"/>
              <w:contextualSpacing/>
              <w:textAlignment w:val="baseline"/>
              <w:rPr>
                <w:sz w:val="20"/>
                <w:szCs w:val="20"/>
              </w:rPr>
            </w:pPr>
          </w:p>
        </w:tc>
        <w:tc>
          <w:tcPr>
            <w:tcW w:w="705" w:type="pct"/>
            <w:tcBorders>
              <w:top w:val="single" w:sz="4" w:space="0" w:color="000000"/>
              <w:left w:val="single" w:sz="4" w:space="0" w:color="000000"/>
              <w:bottom w:val="single" w:sz="4" w:space="0" w:color="000000"/>
              <w:right w:val="single" w:sz="4" w:space="0" w:color="auto"/>
            </w:tcBorders>
          </w:tcPr>
          <w:p w:rsidR="005D4418" w:rsidRPr="00355BFD" w:rsidRDefault="005D4418" w:rsidP="001E114F">
            <w:pPr>
              <w:suppressLineNumbers/>
              <w:autoSpaceDN w:val="0"/>
              <w:snapToGrid w:val="0"/>
              <w:contextualSpacing/>
              <w:textAlignment w:val="baseline"/>
              <w:rPr>
                <w:rFonts w:eastAsia="Andale Sans UI"/>
                <w:kern w:val="3"/>
                <w:sz w:val="19"/>
                <w:szCs w:val="19"/>
                <w:lang w:eastAsia="ja-JP" w:bidi="fa-IR"/>
              </w:rPr>
            </w:pPr>
            <w:r w:rsidRPr="00355BFD">
              <w:rPr>
                <w:rFonts w:eastAsia="Andale Sans UI"/>
                <w:kern w:val="3"/>
                <w:sz w:val="19"/>
                <w:szCs w:val="19"/>
                <w:lang w:eastAsia="ja-JP" w:bidi="fa-IR"/>
              </w:rPr>
              <w:t>Не менее 70</w:t>
            </w:r>
          </w:p>
          <w:p w:rsidR="005D4418" w:rsidRPr="00355BFD" w:rsidRDefault="005D4418" w:rsidP="001E114F">
            <w:pPr>
              <w:suppressLineNumbers/>
              <w:autoSpaceDN w:val="0"/>
              <w:snapToGrid w:val="0"/>
              <w:contextualSpacing/>
              <w:textAlignment w:val="baseline"/>
              <w:rPr>
                <w:rFonts w:eastAsia="Andale Sans UI"/>
                <w:kern w:val="3"/>
                <w:sz w:val="19"/>
                <w:szCs w:val="19"/>
                <w:lang w:val="de-DE" w:eastAsia="ja-JP" w:bidi="fa-IR"/>
              </w:rPr>
            </w:pPr>
          </w:p>
        </w:tc>
        <w:tc>
          <w:tcPr>
            <w:tcW w:w="389" w:type="pct"/>
            <w:vMerge/>
            <w:tcBorders>
              <w:top w:val="single" w:sz="4" w:space="0" w:color="auto"/>
              <w:left w:val="single" w:sz="4" w:space="0" w:color="auto"/>
              <w:right w:val="single" w:sz="4" w:space="0" w:color="auto"/>
            </w:tcBorders>
          </w:tcPr>
          <w:p w:rsidR="005D4418" w:rsidRPr="00355BFD" w:rsidRDefault="005D4418" w:rsidP="001E114F">
            <w:pPr>
              <w:autoSpaceDE w:val="0"/>
              <w:autoSpaceDN w:val="0"/>
              <w:adjustRightInd w:val="0"/>
              <w:ind w:firstLine="77"/>
              <w:contextualSpacing/>
              <w:rPr>
                <w:sz w:val="20"/>
                <w:szCs w:val="20"/>
              </w:rPr>
            </w:pPr>
          </w:p>
        </w:tc>
        <w:tc>
          <w:tcPr>
            <w:tcW w:w="385" w:type="pct"/>
            <w:vMerge/>
            <w:tcBorders>
              <w:top w:val="single" w:sz="4" w:space="0" w:color="auto"/>
              <w:left w:val="single" w:sz="4" w:space="0" w:color="auto"/>
              <w:right w:val="single" w:sz="4" w:space="0" w:color="auto"/>
            </w:tcBorders>
          </w:tcPr>
          <w:p w:rsidR="005D4418" w:rsidRPr="00355BFD" w:rsidRDefault="005D4418" w:rsidP="001E114F">
            <w:pPr>
              <w:autoSpaceDE w:val="0"/>
              <w:autoSpaceDN w:val="0"/>
              <w:adjustRightInd w:val="0"/>
              <w:ind w:firstLine="77"/>
              <w:contextualSpacing/>
              <w:rPr>
                <w:sz w:val="20"/>
                <w:szCs w:val="20"/>
              </w:rPr>
            </w:pPr>
          </w:p>
        </w:tc>
      </w:tr>
      <w:tr w:rsidR="005D4418" w:rsidRPr="00355BFD" w:rsidTr="005D4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jc w:val="center"/>
        </w:trPr>
        <w:tc>
          <w:tcPr>
            <w:tcW w:w="239" w:type="pct"/>
            <w:vMerge/>
            <w:tcBorders>
              <w:left w:val="single" w:sz="4" w:space="0" w:color="000000"/>
              <w:right w:val="nil"/>
            </w:tcBorders>
          </w:tcPr>
          <w:p w:rsidR="005D4418" w:rsidRPr="00355BFD" w:rsidRDefault="005D4418" w:rsidP="001E114F">
            <w:pPr>
              <w:autoSpaceDE w:val="0"/>
              <w:autoSpaceDN w:val="0"/>
              <w:adjustRightInd w:val="0"/>
              <w:ind w:hanging="20"/>
              <w:contextualSpacing/>
              <w:jc w:val="center"/>
              <w:rPr>
                <w:sz w:val="20"/>
                <w:szCs w:val="20"/>
              </w:rPr>
            </w:pPr>
          </w:p>
        </w:tc>
        <w:tc>
          <w:tcPr>
            <w:tcW w:w="955" w:type="pct"/>
            <w:vMerge/>
            <w:tcBorders>
              <w:left w:val="single" w:sz="4" w:space="0" w:color="000000"/>
              <w:right w:val="nil"/>
            </w:tcBorders>
          </w:tcPr>
          <w:p w:rsidR="005D4418" w:rsidRPr="00355BFD" w:rsidRDefault="005D4418" w:rsidP="001E114F">
            <w:pPr>
              <w:autoSpaceDE w:val="0"/>
              <w:autoSpaceDN w:val="0"/>
              <w:adjustRightInd w:val="0"/>
              <w:ind w:firstLine="8"/>
              <w:contextualSpacing/>
              <w:rPr>
                <w:sz w:val="20"/>
                <w:szCs w:val="20"/>
              </w:rPr>
            </w:pPr>
          </w:p>
        </w:tc>
        <w:tc>
          <w:tcPr>
            <w:tcW w:w="1147" w:type="pct"/>
            <w:tcBorders>
              <w:top w:val="single" w:sz="4" w:space="0" w:color="000000"/>
              <w:left w:val="single" w:sz="4" w:space="0" w:color="000000"/>
              <w:right w:val="nil"/>
            </w:tcBorders>
          </w:tcPr>
          <w:p w:rsidR="005D4418" w:rsidRPr="00355BFD" w:rsidRDefault="005D4418" w:rsidP="001E114F">
            <w:pPr>
              <w:suppressLineNumbers/>
              <w:autoSpaceDN w:val="0"/>
              <w:contextualSpacing/>
              <w:textAlignment w:val="baseline"/>
              <w:rPr>
                <w:sz w:val="20"/>
                <w:szCs w:val="20"/>
                <w:lang w:val="de-DE"/>
              </w:rPr>
            </w:pPr>
            <w:r w:rsidRPr="00355BFD">
              <w:rPr>
                <w:rFonts w:eastAsia="Andale Sans UI"/>
                <w:kern w:val="3"/>
                <w:sz w:val="19"/>
                <w:szCs w:val="19"/>
                <w:lang w:val="de-DE" w:eastAsia="ja-JP" w:bidi="fa-IR"/>
              </w:rPr>
              <w:t xml:space="preserve">- </w:t>
            </w:r>
            <w:r w:rsidRPr="00355BFD">
              <w:rPr>
                <w:rFonts w:eastAsia="Andale Sans UI"/>
                <w:kern w:val="3"/>
                <w:sz w:val="19"/>
                <w:szCs w:val="19"/>
                <w:lang w:eastAsia="ja-JP" w:bidi="fa-IR"/>
              </w:rPr>
              <w:t xml:space="preserve"> покрытие мешка </w:t>
            </w:r>
          </w:p>
        </w:tc>
        <w:tc>
          <w:tcPr>
            <w:tcW w:w="1180" w:type="pct"/>
            <w:tcBorders>
              <w:top w:val="single" w:sz="4" w:space="0" w:color="000000"/>
              <w:left w:val="single" w:sz="4" w:space="0" w:color="000000"/>
              <w:bottom w:val="single" w:sz="4" w:space="0" w:color="000000"/>
              <w:right w:val="nil"/>
            </w:tcBorders>
          </w:tcPr>
          <w:p w:rsidR="005D4418" w:rsidRPr="00355BFD" w:rsidRDefault="005D4418" w:rsidP="001E114F">
            <w:pPr>
              <w:suppressLineNumbers/>
              <w:autoSpaceDN w:val="0"/>
              <w:contextualSpacing/>
              <w:textAlignment w:val="baseline"/>
              <w:rPr>
                <w:rFonts w:eastAsia="Andale Sans UI"/>
                <w:kern w:val="3"/>
                <w:sz w:val="19"/>
                <w:szCs w:val="19"/>
                <w:lang w:eastAsia="ja-JP" w:bidi="fa-IR"/>
              </w:rPr>
            </w:pPr>
            <w:r w:rsidRPr="00355BFD">
              <w:rPr>
                <w:rFonts w:eastAsia="Andale Sans UI"/>
                <w:kern w:val="3"/>
                <w:sz w:val="19"/>
                <w:szCs w:val="19"/>
                <w:lang w:eastAsia="ja-JP" w:bidi="fa-IR"/>
              </w:rPr>
              <w:t>двухстороннее покрытие</w:t>
            </w:r>
          </w:p>
        </w:tc>
        <w:tc>
          <w:tcPr>
            <w:tcW w:w="705" w:type="pct"/>
            <w:tcBorders>
              <w:top w:val="single" w:sz="4" w:space="0" w:color="000000"/>
              <w:left w:val="single" w:sz="4" w:space="0" w:color="000000"/>
              <w:bottom w:val="single" w:sz="4" w:space="0" w:color="000000"/>
              <w:right w:val="single" w:sz="4" w:space="0" w:color="auto"/>
            </w:tcBorders>
          </w:tcPr>
          <w:p w:rsidR="005D4418" w:rsidRPr="00355BFD" w:rsidRDefault="005D4418" w:rsidP="001E114F">
            <w:pPr>
              <w:autoSpaceDE w:val="0"/>
              <w:autoSpaceDN w:val="0"/>
              <w:adjustRightInd w:val="0"/>
              <w:ind w:firstLine="77"/>
              <w:contextualSpacing/>
              <w:rPr>
                <w:sz w:val="20"/>
                <w:szCs w:val="20"/>
              </w:rPr>
            </w:pPr>
          </w:p>
        </w:tc>
        <w:tc>
          <w:tcPr>
            <w:tcW w:w="389" w:type="pct"/>
            <w:vMerge/>
            <w:tcBorders>
              <w:left w:val="single" w:sz="4" w:space="0" w:color="auto"/>
              <w:right w:val="single" w:sz="4" w:space="0" w:color="auto"/>
            </w:tcBorders>
          </w:tcPr>
          <w:p w:rsidR="005D4418" w:rsidRPr="00355BFD" w:rsidRDefault="005D4418" w:rsidP="001E114F">
            <w:pPr>
              <w:autoSpaceDE w:val="0"/>
              <w:autoSpaceDN w:val="0"/>
              <w:adjustRightInd w:val="0"/>
              <w:ind w:firstLine="77"/>
              <w:contextualSpacing/>
              <w:rPr>
                <w:sz w:val="20"/>
                <w:szCs w:val="20"/>
              </w:rPr>
            </w:pPr>
          </w:p>
        </w:tc>
        <w:tc>
          <w:tcPr>
            <w:tcW w:w="385" w:type="pct"/>
            <w:vMerge/>
            <w:tcBorders>
              <w:left w:val="single" w:sz="4" w:space="0" w:color="auto"/>
              <w:right w:val="single" w:sz="4" w:space="0" w:color="auto"/>
            </w:tcBorders>
          </w:tcPr>
          <w:p w:rsidR="005D4418" w:rsidRPr="00355BFD" w:rsidRDefault="005D4418" w:rsidP="001E114F">
            <w:pPr>
              <w:autoSpaceDE w:val="0"/>
              <w:autoSpaceDN w:val="0"/>
              <w:adjustRightInd w:val="0"/>
              <w:ind w:firstLine="77"/>
              <w:contextualSpacing/>
              <w:rPr>
                <w:sz w:val="20"/>
                <w:szCs w:val="20"/>
              </w:rPr>
            </w:pPr>
          </w:p>
        </w:tc>
      </w:tr>
      <w:tr w:rsidR="005D4418" w:rsidRPr="00355BFD" w:rsidTr="005D4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jc w:val="center"/>
        </w:trPr>
        <w:tc>
          <w:tcPr>
            <w:tcW w:w="239" w:type="pct"/>
            <w:vMerge/>
            <w:tcBorders>
              <w:left w:val="single" w:sz="4" w:space="0" w:color="000000"/>
              <w:right w:val="nil"/>
            </w:tcBorders>
          </w:tcPr>
          <w:p w:rsidR="005D4418" w:rsidRPr="00355BFD" w:rsidRDefault="005D4418" w:rsidP="001E114F">
            <w:pPr>
              <w:autoSpaceDE w:val="0"/>
              <w:autoSpaceDN w:val="0"/>
              <w:adjustRightInd w:val="0"/>
              <w:ind w:hanging="20"/>
              <w:contextualSpacing/>
              <w:jc w:val="center"/>
              <w:rPr>
                <w:sz w:val="20"/>
                <w:szCs w:val="20"/>
              </w:rPr>
            </w:pPr>
          </w:p>
        </w:tc>
        <w:tc>
          <w:tcPr>
            <w:tcW w:w="955" w:type="pct"/>
            <w:vMerge/>
            <w:tcBorders>
              <w:left w:val="single" w:sz="4" w:space="0" w:color="000000"/>
              <w:right w:val="nil"/>
            </w:tcBorders>
          </w:tcPr>
          <w:p w:rsidR="005D4418" w:rsidRPr="00355BFD" w:rsidRDefault="005D4418" w:rsidP="001E114F">
            <w:pPr>
              <w:autoSpaceDE w:val="0"/>
              <w:autoSpaceDN w:val="0"/>
              <w:adjustRightInd w:val="0"/>
              <w:ind w:firstLine="8"/>
              <w:contextualSpacing/>
              <w:rPr>
                <w:sz w:val="20"/>
                <w:szCs w:val="20"/>
              </w:rPr>
            </w:pPr>
          </w:p>
        </w:tc>
        <w:tc>
          <w:tcPr>
            <w:tcW w:w="1147" w:type="pct"/>
            <w:tcBorders>
              <w:top w:val="single" w:sz="4" w:space="0" w:color="000000"/>
              <w:left w:val="single" w:sz="4" w:space="0" w:color="000000"/>
              <w:right w:val="nil"/>
            </w:tcBorders>
          </w:tcPr>
          <w:p w:rsidR="005D4418" w:rsidRPr="00355BFD" w:rsidRDefault="005D4418" w:rsidP="001E114F">
            <w:pPr>
              <w:suppressLineNumbers/>
              <w:autoSpaceDN w:val="0"/>
              <w:contextualSpacing/>
              <w:textAlignment w:val="baseline"/>
              <w:rPr>
                <w:rFonts w:eastAsia="Andale Sans UI"/>
                <w:kern w:val="3"/>
                <w:sz w:val="19"/>
                <w:szCs w:val="19"/>
                <w:lang w:val="de-DE" w:eastAsia="ja-JP" w:bidi="fa-IR"/>
              </w:rPr>
            </w:pPr>
            <w:r w:rsidRPr="00355BFD">
              <w:rPr>
                <w:rFonts w:eastAsia="Andale Sans UI"/>
                <w:kern w:val="3"/>
                <w:sz w:val="19"/>
                <w:szCs w:val="19"/>
                <w:lang w:val="de-DE" w:eastAsia="ja-JP" w:bidi="fa-IR"/>
              </w:rPr>
              <w:t xml:space="preserve">- </w:t>
            </w:r>
            <w:r w:rsidRPr="00355BFD">
              <w:rPr>
                <w:rFonts w:eastAsia="Andale Sans UI"/>
                <w:kern w:val="3"/>
                <w:sz w:val="19"/>
                <w:szCs w:val="19"/>
                <w:lang w:eastAsia="ja-JP" w:bidi="fa-IR"/>
              </w:rPr>
              <w:t xml:space="preserve"> мешок</w:t>
            </w:r>
          </w:p>
        </w:tc>
        <w:tc>
          <w:tcPr>
            <w:tcW w:w="1180" w:type="pct"/>
            <w:tcBorders>
              <w:top w:val="single" w:sz="4" w:space="0" w:color="000000"/>
              <w:left w:val="single" w:sz="4" w:space="0" w:color="000000"/>
              <w:bottom w:val="single" w:sz="4" w:space="0" w:color="000000"/>
              <w:right w:val="nil"/>
            </w:tcBorders>
          </w:tcPr>
          <w:p w:rsidR="005D4418" w:rsidRPr="00355BFD" w:rsidRDefault="005D4418" w:rsidP="001E114F">
            <w:pPr>
              <w:suppressLineNumbers/>
              <w:autoSpaceDN w:val="0"/>
              <w:contextualSpacing/>
              <w:textAlignment w:val="baseline"/>
              <w:rPr>
                <w:rFonts w:eastAsia="Andale Sans UI"/>
                <w:kern w:val="3"/>
                <w:sz w:val="19"/>
                <w:szCs w:val="19"/>
                <w:lang w:eastAsia="ja-JP" w:bidi="fa-IR"/>
              </w:rPr>
            </w:pPr>
            <w:r w:rsidRPr="00355BFD">
              <w:rPr>
                <w:rFonts w:eastAsia="Andale Sans UI"/>
                <w:kern w:val="3"/>
                <w:sz w:val="19"/>
                <w:szCs w:val="19"/>
                <w:lang w:eastAsia="ja-JP" w:bidi="fa-IR"/>
              </w:rPr>
              <w:t xml:space="preserve">непрозрачный </w:t>
            </w:r>
            <w:proofErr w:type="spellStart"/>
            <w:r w:rsidRPr="00355BFD">
              <w:rPr>
                <w:rFonts w:eastAsia="Andale Sans UI"/>
                <w:kern w:val="3"/>
                <w:sz w:val="19"/>
                <w:szCs w:val="19"/>
                <w:lang w:eastAsia="ja-JP" w:bidi="fa-IR"/>
              </w:rPr>
              <w:t>запахонепроницаемый</w:t>
            </w:r>
            <w:proofErr w:type="spellEnd"/>
            <w:r w:rsidRPr="00355BFD">
              <w:rPr>
                <w:rFonts w:eastAsia="Andale Sans UI"/>
                <w:kern w:val="3"/>
                <w:sz w:val="19"/>
                <w:szCs w:val="19"/>
                <w:lang w:eastAsia="ja-JP" w:bidi="fa-IR"/>
              </w:rPr>
              <w:t xml:space="preserve"> полиэтилен</w:t>
            </w:r>
          </w:p>
        </w:tc>
        <w:tc>
          <w:tcPr>
            <w:tcW w:w="705" w:type="pct"/>
            <w:tcBorders>
              <w:top w:val="single" w:sz="4" w:space="0" w:color="000000"/>
              <w:left w:val="single" w:sz="4" w:space="0" w:color="000000"/>
              <w:bottom w:val="single" w:sz="4" w:space="0" w:color="000000"/>
              <w:right w:val="single" w:sz="4" w:space="0" w:color="auto"/>
            </w:tcBorders>
          </w:tcPr>
          <w:p w:rsidR="005D4418" w:rsidRPr="00355BFD" w:rsidRDefault="005D4418" w:rsidP="001E114F">
            <w:pPr>
              <w:autoSpaceDE w:val="0"/>
              <w:autoSpaceDN w:val="0"/>
              <w:adjustRightInd w:val="0"/>
              <w:ind w:firstLine="77"/>
              <w:contextualSpacing/>
              <w:rPr>
                <w:sz w:val="20"/>
                <w:szCs w:val="20"/>
              </w:rPr>
            </w:pPr>
          </w:p>
        </w:tc>
        <w:tc>
          <w:tcPr>
            <w:tcW w:w="389" w:type="pct"/>
            <w:vMerge/>
            <w:tcBorders>
              <w:left w:val="single" w:sz="4" w:space="0" w:color="auto"/>
              <w:right w:val="single" w:sz="4" w:space="0" w:color="auto"/>
            </w:tcBorders>
          </w:tcPr>
          <w:p w:rsidR="005D4418" w:rsidRPr="00355BFD" w:rsidRDefault="005D4418" w:rsidP="001E114F">
            <w:pPr>
              <w:autoSpaceDE w:val="0"/>
              <w:autoSpaceDN w:val="0"/>
              <w:adjustRightInd w:val="0"/>
              <w:ind w:firstLine="77"/>
              <w:contextualSpacing/>
              <w:rPr>
                <w:sz w:val="20"/>
                <w:szCs w:val="20"/>
              </w:rPr>
            </w:pPr>
          </w:p>
        </w:tc>
        <w:tc>
          <w:tcPr>
            <w:tcW w:w="385" w:type="pct"/>
            <w:vMerge/>
            <w:tcBorders>
              <w:left w:val="single" w:sz="4" w:space="0" w:color="auto"/>
              <w:right w:val="single" w:sz="4" w:space="0" w:color="auto"/>
            </w:tcBorders>
          </w:tcPr>
          <w:p w:rsidR="005D4418" w:rsidRPr="00355BFD" w:rsidRDefault="005D4418" w:rsidP="001E114F">
            <w:pPr>
              <w:autoSpaceDE w:val="0"/>
              <w:autoSpaceDN w:val="0"/>
              <w:adjustRightInd w:val="0"/>
              <w:ind w:firstLine="77"/>
              <w:contextualSpacing/>
              <w:rPr>
                <w:sz w:val="20"/>
                <w:szCs w:val="20"/>
              </w:rPr>
            </w:pPr>
          </w:p>
        </w:tc>
      </w:tr>
      <w:tr w:rsidR="005D4418" w:rsidRPr="00355BFD" w:rsidTr="005D4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7"/>
          <w:jc w:val="center"/>
        </w:trPr>
        <w:tc>
          <w:tcPr>
            <w:tcW w:w="239" w:type="pct"/>
            <w:vMerge/>
            <w:tcBorders>
              <w:left w:val="single" w:sz="4" w:space="0" w:color="000000"/>
              <w:right w:val="nil"/>
            </w:tcBorders>
          </w:tcPr>
          <w:p w:rsidR="005D4418" w:rsidRPr="00355BFD" w:rsidRDefault="005D4418" w:rsidP="001E114F">
            <w:pPr>
              <w:autoSpaceDE w:val="0"/>
              <w:autoSpaceDN w:val="0"/>
              <w:adjustRightInd w:val="0"/>
              <w:ind w:hanging="20"/>
              <w:contextualSpacing/>
              <w:jc w:val="center"/>
              <w:rPr>
                <w:sz w:val="20"/>
                <w:szCs w:val="20"/>
              </w:rPr>
            </w:pPr>
          </w:p>
        </w:tc>
        <w:tc>
          <w:tcPr>
            <w:tcW w:w="955" w:type="pct"/>
            <w:vMerge/>
            <w:tcBorders>
              <w:left w:val="single" w:sz="4" w:space="0" w:color="000000"/>
              <w:right w:val="nil"/>
            </w:tcBorders>
          </w:tcPr>
          <w:p w:rsidR="005D4418" w:rsidRPr="00355BFD" w:rsidRDefault="005D4418" w:rsidP="001E114F">
            <w:pPr>
              <w:autoSpaceDE w:val="0"/>
              <w:autoSpaceDN w:val="0"/>
              <w:adjustRightInd w:val="0"/>
              <w:ind w:firstLine="8"/>
              <w:contextualSpacing/>
              <w:rPr>
                <w:sz w:val="20"/>
                <w:szCs w:val="20"/>
              </w:rPr>
            </w:pPr>
          </w:p>
        </w:tc>
        <w:tc>
          <w:tcPr>
            <w:tcW w:w="1147" w:type="pct"/>
            <w:tcBorders>
              <w:top w:val="single" w:sz="4" w:space="0" w:color="000000"/>
              <w:left w:val="single" w:sz="4" w:space="0" w:color="000000"/>
              <w:bottom w:val="single" w:sz="4" w:space="0" w:color="000000"/>
              <w:right w:val="nil"/>
            </w:tcBorders>
          </w:tcPr>
          <w:p w:rsidR="005D4418" w:rsidRPr="00355BFD" w:rsidRDefault="005D4418" w:rsidP="001E114F">
            <w:pPr>
              <w:autoSpaceDE w:val="0"/>
              <w:autoSpaceDN w:val="0"/>
              <w:adjustRightInd w:val="0"/>
              <w:ind w:hanging="82"/>
              <w:contextualSpacing/>
              <w:rPr>
                <w:sz w:val="20"/>
                <w:szCs w:val="20"/>
              </w:rPr>
            </w:pPr>
            <w:r w:rsidRPr="00355BFD">
              <w:rPr>
                <w:sz w:val="20"/>
                <w:szCs w:val="20"/>
              </w:rPr>
              <w:t>- встроенный фильтр</w:t>
            </w:r>
          </w:p>
        </w:tc>
        <w:tc>
          <w:tcPr>
            <w:tcW w:w="1180" w:type="pct"/>
            <w:tcBorders>
              <w:top w:val="single" w:sz="4" w:space="0" w:color="000000"/>
              <w:left w:val="single" w:sz="4" w:space="0" w:color="000000"/>
              <w:bottom w:val="single" w:sz="4" w:space="0" w:color="000000"/>
              <w:right w:val="nil"/>
            </w:tcBorders>
          </w:tcPr>
          <w:p w:rsidR="005D4418" w:rsidRPr="00355BFD" w:rsidRDefault="005D4418" w:rsidP="001E114F">
            <w:pPr>
              <w:autoSpaceDE w:val="0"/>
              <w:autoSpaceDN w:val="0"/>
              <w:adjustRightInd w:val="0"/>
              <w:ind w:firstLine="77"/>
              <w:contextualSpacing/>
              <w:rPr>
                <w:sz w:val="20"/>
                <w:szCs w:val="20"/>
              </w:rPr>
            </w:pPr>
            <w:r w:rsidRPr="00355BFD">
              <w:rPr>
                <w:sz w:val="20"/>
                <w:szCs w:val="20"/>
              </w:rPr>
              <w:t>наличие</w:t>
            </w:r>
          </w:p>
        </w:tc>
        <w:tc>
          <w:tcPr>
            <w:tcW w:w="705" w:type="pct"/>
            <w:tcBorders>
              <w:top w:val="single" w:sz="4" w:space="0" w:color="000000"/>
              <w:left w:val="single" w:sz="4" w:space="0" w:color="000000"/>
              <w:bottom w:val="single" w:sz="4" w:space="0" w:color="000000"/>
              <w:right w:val="single" w:sz="4" w:space="0" w:color="auto"/>
            </w:tcBorders>
          </w:tcPr>
          <w:p w:rsidR="005D4418" w:rsidRPr="00355BFD" w:rsidRDefault="005D4418" w:rsidP="001E114F">
            <w:pPr>
              <w:autoSpaceDE w:val="0"/>
              <w:autoSpaceDN w:val="0"/>
              <w:adjustRightInd w:val="0"/>
              <w:ind w:firstLine="77"/>
              <w:contextualSpacing/>
              <w:rPr>
                <w:sz w:val="20"/>
                <w:szCs w:val="20"/>
              </w:rPr>
            </w:pPr>
          </w:p>
        </w:tc>
        <w:tc>
          <w:tcPr>
            <w:tcW w:w="389" w:type="pct"/>
            <w:vMerge/>
            <w:tcBorders>
              <w:left w:val="single" w:sz="4" w:space="0" w:color="auto"/>
              <w:right w:val="single" w:sz="4" w:space="0" w:color="auto"/>
            </w:tcBorders>
          </w:tcPr>
          <w:p w:rsidR="005D4418" w:rsidRPr="00355BFD" w:rsidRDefault="005D4418" w:rsidP="001E114F">
            <w:pPr>
              <w:autoSpaceDE w:val="0"/>
              <w:autoSpaceDN w:val="0"/>
              <w:adjustRightInd w:val="0"/>
              <w:ind w:firstLine="77"/>
              <w:contextualSpacing/>
              <w:rPr>
                <w:sz w:val="20"/>
                <w:szCs w:val="20"/>
              </w:rPr>
            </w:pPr>
          </w:p>
        </w:tc>
        <w:tc>
          <w:tcPr>
            <w:tcW w:w="385" w:type="pct"/>
            <w:vMerge/>
            <w:tcBorders>
              <w:left w:val="single" w:sz="4" w:space="0" w:color="auto"/>
              <w:right w:val="single" w:sz="4" w:space="0" w:color="auto"/>
            </w:tcBorders>
          </w:tcPr>
          <w:p w:rsidR="005D4418" w:rsidRPr="00355BFD" w:rsidRDefault="005D4418" w:rsidP="001E114F">
            <w:pPr>
              <w:autoSpaceDE w:val="0"/>
              <w:autoSpaceDN w:val="0"/>
              <w:adjustRightInd w:val="0"/>
              <w:ind w:firstLine="77"/>
              <w:contextualSpacing/>
              <w:rPr>
                <w:sz w:val="20"/>
                <w:szCs w:val="20"/>
              </w:rPr>
            </w:pPr>
          </w:p>
        </w:tc>
      </w:tr>
      <w:tr w:rsidR="005D4418" w:rsidRPr="00355BFD" w:rsidTr="005D4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jc w:val="center"/>
        </w:trPr>
        <w:tc>
          <w:tcPr>
            <w:tcW w:w="239" w:type="pct"/>
            <w:vMerge/>
            <w:tcBorders>
              <w:left w:val="single" w:sz="4" w:space="0" w:color="000000"/>
              <w:bottom w:val="single" w:sz="4" w:space="0" w:color="000000"/>
              <w:right w:val="nil"/>
            </w:tcBorders>
          </w:tcPr>
          <w:p w:rsidR="005D4418" w:rsidRPr="00355BFD" w:rsidRDefault="005D4418" w:rsidP="001E114F">
            <w:pPr>
              <w:autoSpaceDE w:val="0"/>
              <w:autoSpaceDN w:val="0"/>
              <w:adjustRightInd w:val="0"/>
              <w:ind w:hanging="20"/>
              <w:contextualSpacing/>
              <w:jc w:val="center"/>
              <w:rPr>
                <w:sz w:val="20"/>
                <w:szCs w:val="20"/>
              </w:rPr>
            </w:pPr>
          </w:p>
        </w:tc>
        <w:tc>
          <w:tcPr>
            <w:tcW w:w="955" w:type="pct"/>
            <w:vMerge/>
            <w:tcBorders>
              <w:left w:val="single" w:sz="4" w:space="0" w:color="000000"/>
              <w:bottom w:val="single" w:sz="4" w:space="0" w:color="000000"/>
              <w:right w:val="nil"/>
            </w:tcBorders>
          </w:tcPr>
          <w:p w:rsidR="005D4418" w:rsidRPr="00355BFD" w:rsidRDefault="005D4418" w:rsidP="001E114F">
            <w:pPr>
              <w:autoSpaceDE w:val="0"/>
              <w:autoSpaceDN w:val="0"/>
              <w:adjustRightInd w:val="0"/>
              <w:ind w:firstLine="8"/>
              <w:contextualSpacing/>
              <w:rPr>
                <w:sz w:val="20"/>
                <w:szCs w:val="20"/>
              </w:rPr>
            </w:pPr>
          </w:p>
        </w:tc>
        <w:tc>
          <w:tcPr>
            <w:tcW w:w="1147" w:type="pct"/>
            <w:tcBorders>
              <w:top w:val="single" w:sz="4" w:space="0" w:color="000000"/>
              <w:left w:val="single" w:sz="4" w:space="0" w:color="000000"/>
              <w:bottom w:val="single" w:sz="4" w:space="0" w:color="000000"/>
              <w:right w:val="nil"/>
            </w:tcBorders>
          </w:tcPr>
          <w:p w:rsidR="005D4418" w:rsidRPr="00355BFD" w:rsidRDefault="005D4418" w:rsidP="001E114F">
            <w:pPr>
              <w:autoSpaceDE w:val="0"/>
              <w:autoSpaceDN w:val="0"/>
              <w:adjustRightInd w:val="0"/>
              <w:ind w:hanging="82"/>
              <w:contextualSpacing/>
              <w:rPr>
                <w:sz w:val="20"/>
                <w:szCs w:val="20"/>
              </w:rPr>
            </w:pPr>
            <w:r w:rsidRPr="00355BFD">
              <w:rPr>
                <w:sz w:val="20"/>
                <w:szCs w:val="20"/>
              </w:rPr>
              <w:t>- тип застежки</w:t>
            </w:r>
          </w:p>
        </w:tc>
        <w:tc>
          <w:tcPr>
            <w:tcW w:w="1180" w:type="pct"/>
            <w:tcBorders>
              <w:top w:val="single" w:sz="4" w:space="0" w:color="000000"/>
              <w:left w:val="single" w:sz="4" w:space="0" w:color="000000"/>
              <w:bottom w:val="single" w:sz="4" w:space="0" w:color="000000"/>
              <w:right w:val="nil"/>
            </w:tcBorders>
          </w:tcPr>
          <w:p w:rsidR="005D4418" w:rsidRPr="00355BFD" w:rsidRDefault="005D4418" w:rsidP="001E114F">
            <w:pPr>
              <w:autoSpaceDE w:val="0"/>
              <w:autoSpaceDN w:val="0"/>
              <w:adjustRightInd w:val="0"/>
              <w:ind w:firstLine="77"/>
              <w:contextualSpacing/>
              <w:rPr>
                <w:sz w:val="20"/>
                <w:szCs w:val="20"/>
              </w:rPr>
            </w:pPr>
          </w:p>
        </w:tc>
        <w:tc>
          <w:tcPr>
            <w:tcW w:w="705" w:type="pct"/>
            <w:tcBorders>
              <w:top w:val="single" w:sz="4" w:space="0" w:color="000000"/>
              <w:left w:val="single" w:sz="4" w:space="0" w:color="000000"/>
              <w:bottom w:val="single" w:sz="4" w:space="0" w:color="000000"/>
              <w:right w:val="single" w:sz="4" w:space="0" w:color="auto"/>
            </w:tcBorders>
          </w:tcPr>
          <w:p w:rsidR="005D4418" w:rsidRPr="00355BFD" w:rsidRDefault="005D4418" w:rsidP="001E114F">
            <w:pPr>
              <w:autoSpaceDE w:val="0"/>
              <w:autoSpaceDN w:val="0"/>
              <w:adjustRightInd w:val="0"/>
              <w:contextualSpacing/>
              <w:rPr>
                <w:sz w:val="20"/>
                <w:szCs w:val="20"/>
              </w:rPr>
            </w:pPr>
            <w:r w:rsidRPr="00355BFD">
              <w:rPr>
                <w:rFonts w:eastAsia="Andale Sans UI"/>
                <w:kern w:val="3"/>
                <w:sz w:val="19"/>
                <w:szCs w:val="19"/>
                <w:lang w:eastAsia="ja-JP" w:bidi="fa-IR"/>
              </w:rPr>
              <w:t xml:space="preserve">Зажим или </w:t>
            </w:r>
            <w:proofErr w:type="spellStart"/>
            <w:r w:rsidRPr="00355BFD">
              <w:rPr>
                <w:rFonts w:eastAsia="Andale Sans UI"/>
                <w:kern w:val="3"/>
                <w:sz w:val="19"/>
                <w:szCs w:val="19"/>
                <w:lang w:val="de-DE" w:eastAsia="ja-JP" w:bidi="fa-IR"/>
              </w:rPr>
              <w:t>застежка</w:t>
            </w:r>
            <w:proofErr w:type="spellEnd"/>
          </w:p>
        </w:tc>
        <w:tc>
          <w:tcPr>
            <w:tcW w:w="389" w:type="pct"/>
            <w:vMerge/>
            <w:tcBorders>
              <w:left w:val="single" w:sz="4" w:space="0" w:color="auto"/>
              <w:bottom w:val="single" w:sz="4" w:space="0" w:color="auto"/>
              <w:right w:val="single" w:sz="4" w:space="0" w:color="auto"/>
            </w:tcBorders>
          </w:tcPr>
          <w:p w:rsidR="005D4418" w:rsidRPr="00355BFD" w:rsidRDefault="005D4418" w:rsidP="001E114F">
            <w:pPr>
              <w:autoSpaceDE w:val="0"/>
              <w:autoSpaceDN w:val="0"/>
              <w:adjustRightInd w:val="0"/>
              <w:ind w:firstLine="77"/>
              <w:contextualSpacing/>
              <w:rPr>
                <w:sz w:val="20"/>
                <w:szCs w:val="20"/>
              </w:rPr>
            </w:pPr>
          </w:p>
        </w:tc>
        <w:tc>
          <w:tcPr>
            <w:tcW w:w="385" w:type="pct"/>
            <w:vMerge/>
            <w:tcBorders>
              <w:left w:val="single" w:sz="4" w:space="0" w:color="auto"/>
              <w:bottom w:val="single" w:sz="4" w:space="0" w:color="auto"/>
              <w:right w:val="single" w:sz="4" w:space="0" w:color="auto"/>
            </w:tcBorders>
          </w:tcPr>
          <w:p w:rsidR="005D4418" w:rsidRPr="00355BFD" w:rsidRDefault="005D4418" w:rsidP="001E114F">
            <w:pPr>
              <w:autoSpaceDE w:val="0"/>
              <w:autoSpaceDN w:val="0"/>
              <w:adjustRightInd w:val="0"/>
              <w:ind w:firstLine="77"/>
              <w:contextualSpacing/>
              <w:rPr>
                <w:sz w:val="20"/>
                <w:szCs w:val="20"/>
              </w:rPr>
            </w:pPr>
          </w:p>
        </w:tc>
      </w:tr>
      <w:tr w:rsidR="005D4418" w:rsidRPr="00355BFD" w:rsidTr="005D4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jc w:val="center"/>
        </w:trPr>
        <w:tc>
          <w:tcPr>
            <w:tcW w:w="239" w:type="pct"/>
            <w:vMerge/>
            <w:tcBorders>
              <w:left w:val="single" w:sz="4" w:space="0" w:color="000000"/>
              <w:bottom w:val="single" w:sz="4" w:space="0" w:color="000000"/>
              <w:right w:val="nil"/>
            </w:tcBorders>
          </w:tcPr>
          <w:p w:rsidR="005D4418" w:rsidRPr="00355BFD" w:rsidRDefault="005D4418" w:rsidP="001E114F">
            <w:pPr>
              <w:autoSpaceDE w:val="0"/>
              <w:autoSpaceDN w:val="0"/>
              <w:adjustRightInd w:val="0"/>
              <w:ind w:hanging="20"/>
              <w:contextualSpacing/>
              <w:jc w:val="center"/>
              <w:rPr>
                <w:sz w:val="20"/>
                <w:szCs w:val="20"/>
              </w:rPr>
            </w:pPr>
          </w:p>
        </w:tc>
        <w:tc>
          <w:tcPr>
            <w:tcW w:w="955" w:type="pct"/>
            <w:vMerge/>
            <w:tcBorders>
              <w:left w:val="single" w:sz="4" w:space="0" w:color="000000"/>
              <w:bottom w:val="single" w:sz="4" w:space="0" w:color="000000"/>
              <w:right w:val="nil"/>
            </w:tcBorders>
          </w:tcPr>
          <w:p w:rsidR="005D4418" w:rsidRPr="00355BFD" w:rsidRDefault="005D4418" w:rsidP="001E114F">
            <w:pPr>
              <w:autoSpaceDE w:val="0"/>
              <w:autoSpaceDN w:val="0"/>
              <w:adjustRightInd w:val="0"/>
              <w:ind w:firstLine="8"/>
              <w:contextualSpacing/>
              <w:rPr>
                <w:sz w:val="20"/>
                <w:szCs w:val="20"/>
              </w:rPr>
            </w:pPr>
          </w:p>
        </w:tc>
        <w:tc>
          <w:tcPr>
            <w:tcW w:w="1147" w:type="pct"/>
            <w:tcBorders>
              <w:top w:val="single" w:sz="4" w:space="0" w:color="000000"/>
              <w:left w:val="single" w:sz="4" w:space="0" w:color="000000"/>
              <w:bottom w:val="single" w:sz="4" w:space="0" w:color="000000"/>
              <w:right w:val="nil"/>
            </w:tcBorders>
          </w:tcPr>
          <w:p w:rsidR="005D4418" w:rsidRPr="00355BFD" w:rsidRDefault="005D4418" w:rsidP="001E114F">
            <w:pPr>
              <w:autoSpaceDE w:val="0"/>
              <w:autoSpaceDN w:val="0"/>
              <w:adjustRightInd w:val="0"/>
              <w:ind w:hanging="82"/>
              <w:contextualSpacing/>
              <w:rPr>
                <w:sz w:val="20"/>
                <w:szCs w:val="20"/>
              </w:rPr>
            </w:pPr>
            <w:r w:rsidRPr="00355BFD">
              <w:rPr>
                <w:sz w:val="20"/>
                <w:szCs w:val="20"/>
              </w:rPr>
              <w:t xml:space="preserve">- Срок годности Изделий с момента передачи Получателю должен </w:t>
            </w:r>
            <w:r w:rsidRPr="00355BFD">
              <w:rPr>
                <w:sz w:val="20"/>
                <w:szCs w:val="20"/>
              </w:rPr>
              <w:lastRenderedPageBreak/>
              <w:t>составлять не менее 12 месяцев</w:t>
            </w:r>
          </w:p>
        </w:tc>
        <w:tc>
          <w:tcPr>
            <w:tcW w:w="1180" w:type="pct"/>
            <w:tcBorders>
              <w:top w:val="single" w:sz="4" w:space="0" w:color="000000"/>
              <w:left w:val="single" w:sz="4" w:space="0" w:color="000000"/>
              <w:bottom w:val="single" w:sz="4" w:space="0" w:color="000000"/>
              <w:right w:val="nil"/>
            </w:tcBorders>
          </w:tcPr>
          <w:p w:rsidR="005D4418" w:rsidRPr="00355BFD" w:rsidRDefault="005D4418" w:rsidP="001E114F">
            <w:pPr>
              <w:autoSpaceDE w:val="0"/>
              <w:autoSpaceDN w:val="0"/>
              <w:adjustRightInd w:val="0"/>
              <w:ind w:firstLine="77"/>
              <w:contextualSpacing/>
              <w:rPr>
                <w:sz w:val="20"/>
                <w:szCs w:val="20"/>
              </w:rPr>
            </w:pPr>
            <w:r w:rsidRPr="00355BFD">
              <w:rPr>
                <w:sz w:val="20"/>
                <w:szCs w:val="20"/>
              </w:rPr>
              <w:lastRenderedPageBreak/>
              <w:t>соответствует</w:t>
            </w:r>
          </w:p>
        </w:tc>
        <w:tc>
          <w:tcPr>
            <w:tcW w:w="705" w:type="pct"/>
            <w:tcBorders>
              <w:top w:val="single" w:sz="4" w:space="0" w:color="000000"/>
              <w:left w:val="single" w:sz="4" w:space="0" w:color="000000"/>
              <w:bottom w:val="single" w:sz="4" w:space="0" w:color="000000"/>
              <w:right w:val="single" w:sz="4" w:space="0" w:color="auto"/>
            </w:tcBorders>
          </w:tcPr>
          <w:p w:rsidR="005D4418" w:rsidRPr="00355BFD" w:rsidRDefault="005D4418" w:rsidP="001E114F">
            <w:pPr>
              <w:autoSpaceDE w:val="0"/>
              <w:autoSpaceDN w:val="0"/>
              <w:adjustRightInd w:val="0"/>
              <w:contextualSpacing/>
              <w:rPr>
                <w:rFonts w:eastAsia="Andale Sans UI"/>
                <w:kern w:val="3"/>
                <w:sz w:val="19"/>
                <w:szCs w:val="19"/>
                <w:lang w:eastAsia="ja-JP" w:bidi="fa-IR"/>
              </w:rPr>
            </w:pPr>
          </w:p>
        </w:tc>
        <w:tc>
          <w:tcPr>
            <w:tcW w:w="389" w:type="pct"/>
            <w:vMerge/>
            <w:tcBorders>
              <w:left w:val="single" w:sz="4" w:space="0" w:color="auto"/>
              <w:bottom w:val="single" w:sz="4" w:space="0" w:color="auto"/>
              <w:right w:val="single" w:sz="4" w:space="0" w:color="auto"/>
            </w:tcBorders>
          </w:tcPr>
          <w:p w:rsidR="005D4418" w:rsidRPr="00355BFD" w:rsidRDefault="005D4418" w:rsidP="001E114F">
            <w:pPr>
              <w:autoSpaceDE w:val="0"/>
              <w:autoSpaceDN w:val="0"/>
              <w:adjustRightInd w:val="0"/>
              <w:ind w:firstLine="77"/>
              <w:contextualSpacing/>
              <w:rPr>
                <w:sz w:val="20"/>
                <w:szCs w:val="20"/>
              </w:rPr>
            </w:pPr>
          </w:p>
        </w:tc>
        <w:tc>
          <w:tcPr>
            <w:tcW w:w="385" w:type="pct"/>
            <w:vMerge/>
            <w:tcBorders>
              <w:left w:val="single" w:sz="4" w:space="0" w:color="auto"/>
              <w:bottom w:val="single" w:sz="4" w:space="0" w:color="auto"/>
              <w:right w:val="single" w:sz="4" w:space="0" w:color="auto"/>
            </w:tcBorders>
          </w:tcPr>
          <w:p w:rsidR="005D4418" w:rsidRPr="00355BFD" w:rsidRDefault="005D4418" w:rsidP="001E114F">
            <w:pPr>
              <w:autoSpaceDE w:val="0"/>
              <w:autoSpaceDN w:val="0"/>
              <w:adjustRightInd w:val="0"/>
              <w:ind w:firstLine="77"/>
              <w:contextualSpacing/>
              <w:rPr>
                <w:sz w:val="20"/>
                <w:szCs w:val="20"/>
              </w:rPr>
            </w:pPr>
          </w:p>
        </w:tc>
      </w:tr>
      <w:tr w:rsidR="005D4418" w:rsidRPr="00355BFD" w:rsidTr="005D4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jc w:val="center"/>
        </w:trPr>
        <w:tc>
          <w:tcPr>
            <w:tcW w:w="239" w:type="pct"/>
            <w:vMerge/>
            <w:tcBorders>
              <w:left w:val="single" w:sz="4" w:space="0" w:color="000000"/>
              <w:bottom w:val="single" w:sz="4" w:space="0" w:color="000000"/>
              <w:right w:val="nil"/>
            </w:tcBorders>
          </w:tcPr>
          <w:p w:rsidR="005D4418" w:rsidRPr="00355BFD" w:rsidRDefault="005D4418" w:rsidP="001E114F">
            <w:pPr>
              <w:autoSpaceDE w:val="0"/>
              <w:autoSpaceDN w:val="0"/>
              <w:adjustRightInd w:val="0"/>
              <w:ind w:hanging="20"/>
              <w:contextualSpacing/>
              <w:jc w:val="center"/>
              <w:rPr>
                <w:sz w:val="20"/>
                <w:szCs w:val="20"/>
              </w:rPr>
            </w:pPr>
          </w:p>
        </w:tc>
        <w:tc>
          <w:tcPr>
            <w:tcW w:w="955" w:type="pct"/>
            <w:vMerge/>
            <w:tcBorders>
              <w:left w:val="single" w:sz="4" w:space="0" w:color="000000"/>
              <w:bottom w:val="single" w:sz="4" w:space="0" w:color="000000"/>
              <w:right w:val="nil"/>
            </w:tcBorders>
          </w:tcPr>
          <w:p w:rsidR="005D4418" w:rsidRPr="00355BFD" w:rsidRDefault="005D4418" w:rsidP="001E114F">
            <w:pPr>
              <w:autoSpaceDE w:val="0"/>
              <w:autoSpaceDN w:val="0"/>
              <w:adjustRightInd w:val="0"/>
              <w:ind w:firstLine="8"/>
              <w:contextualSpacing/>
              <w:rPr>
                <w:sz w:val="20"/>
                <w:szCs w:val="20"/>
              </w:rPr>
            </w:pPr>
          </w:p>
        </w:tc>
        <w:tc>
          <w:tcPr>
            <w:tcW w:w="1147" w:type="pct"/>
            <w:tcBorders>
              <w:top w:val="single" w:sz="4" w:space="0" w:color="000000"/>
              <w:left w:val="single" w:sz="4" w:space="0" w:color="000000"/>
              <w:bottom w:val="single" w:sz="4" w:space="0" w:color="000000"/>
              <w:right w:val="nil"/>
            </w:tcBorders>
          </w:tcPr>
          <w:p w:rsidR="005D4418" w:rsidRPr="00355BFD" w:rsidRDefault="005D4418" w:rsidP="001E114F">
            <w:pPr>
              <w:autoSpaceDE w:val="0"/>
              <w:autoSpaceDN w:val="0"/>
              <w:adjustRightInd w:val="0"/>
              <w:ind w:hanging="82"/>
              <w:contextualSpacing/>
              <w:rPr>
                <w:bCs/>
                <w:sz w:val="16"/>
                <w:szCs w:val="16"/>
              </w:rPr>
            </w:pPr>
            <w:r w:rsidRPr="00355BFD">
              <w:rPr>
                <w:bCs/>
                <w:sz w:val="16"/>
                <w:szCs w:val="16"/>
              </w:rPr>
              <w:t xml:space="preserve">ГОСТ ISO 10993-1-2011, </w:t>
            </w:r>
          </w:p>
          <w:p w:rsidR="005D4418" w:rsidRPr="00355BFD" w:rsidRDefault="005D4418" w:rsidP="001E114F">
            <w:pPr>
              <w:autoSpaceDE w:val="0"/>
              <w:autoSpaceDN w:val="0"/>
              <w:adjustRightInd w:val="0"/>
              <w:ind w:hanging="82"/>
              <w:contextualSpacing/>
              <w:rPr>
                <w:bCs/>
                <w:sz w:val="16"/>
                <w:szCs w:val="16"/>
              </w:rPr>
            </w:pPr>
            <w:r w:rsidRPr="00355BFD">
              <w:rPr>
                <w:bCs/>
                <w:sz w:val="16"/>
                <w:szCs w:val="16"/>
              </w:rPr>
              <w:t>ГОСТ ISO 10993-5-2011,</w:t>
            </w:r>
          </w:p>
          <w:p w:rsidR="005D4418" w:rsidRPr="00355BFD" w:rsidRDefault="005D4418" w:rsidP="001E114F">
            <w:pPr>
              <w:autoSpaceDE w:val="0"/>
              <w:autoSpaceDN w:val="0"/>
              <w:adjustRightInd w:val="0"/>
              <w:ind w:hanging="82"/>
              <w:contextualSpacing/>
              <w:rPr>
                <w:bCs/>
                <w:sz w:val="16"/>
                <w:szCs w:val="16"/>
              </w:rPr>
            </w:pPr>
            <w:r w:rsidRPr="00355BFD">
              <w:rPr>
                <w:bCs/>
                <w:sz w:val="16"/>
                <w:szCs w:val="16"/>
              </w:rPr>
              <w:t>ГОСТ ISO 10993-10-2011</w:t>
            </w:r>
          </w:p>
        </w:tc>
        <w:tc>
          <w:tcPr>
            <w:tcW w:w="1180" w:type="pct"/>
            <w:tcBorders>
              <w:top w:val="single" w:sz="4" w:space="0" w:color="000000"/>
              <w:left w:val="single" w:sz="4" w:space="0" w:color="000000"/>
              <w:bottom w:val="single" w:sz="4" w:space="0" w:color="000000"/>
              <w:right w:val="nil"/>
            </w:tcBorders>
          </w:tcPr>
          <w:p w:rsidR="005D4418" w:rsidRPr="00355BFD" w:rsidRDefault="005D4418" w:rsidP="001E114F">
            <w:pPr>
              <w:autoSpaceDE w:val="0"/>
              <w:autoSpaceDN w:val="0"/>
              <w:adjustRightInd w:val="0"/>
              <w:ind w:firstLine="77"/>
              <w:contextualSpacing/>
              <w:rPr>
                <w:sz w:val="20"/>
                <w:szCs w:val="20"/>
              </w:rPr>
            </w:pPr>
            <w:r w:rsidRPr="00355BFD">
              <w:rPr>
                <w:sz w:val="20"/>
                <w:szCs w:val="20"/>
              </w:rPr>
              <w:t>соответствует</w:t>
            </w:r>
          </w:p>
        </w:tc>
        <w:tc>
          <w:tcPr>
            <w:tcW w:w="705" w:type="pct"/>
            <w:tcBorders>
              <w:top w:val="single" w:sz="4" w:space="0" w:color="000000"/>
              <w:left w:val="single" w:sz="4" w:space="0" w:color="000000"/>
              <w:bottom w:val="single" w:sz="4" w:space="0" w:color="000000"/>
              <w:right w:val="single" w:sz="4" w:space="0" w:color="auto"/>
            </w:tcBorders>
          </w:tcPr>
          <w:p w:rsidR="005D4418" w:rsidRPr="00355BFD" w:rsidRDefault="005D4418" w:rsidP="001E114F">
            <w:pPr>
              <w:autoSpaceDE w:val="0"/>
              <w:autoSpaceDN w:val="0"/>
              <w:adjustRightInd w:val="0"/>
              <w:ind w:firstLine="77"/>
              <w:contextualSpacing/>
              <w:rPr>
                <w:sz w:val="20"/>
                <w:szCs w:val="20"/>
              </w:rPr>
            </w:pPr>
          </w:p>
        </w:tc>
        <w:tc>
          <w:tcPr>
            <w:tcW w:w="389" w:type="pct"/>
            <w:vMerge/>
            <w:tcBorders>
              <w:left w:val="single" w:sz="4" w:space="0" w:color="auto"/>
              <w:bottom w:val="single" w:sz="4" w:space="0" w:color="auto"/>
              <w:right w:val="single" w:sz="4" w:space="0" w:color="auto"/>
            </w:tcBorders>
          </w:tcPr>
          <w:p w:rsidR="005D4418" w:rsidRPr="00355BFD" w:rsidRDefault="005D4418" w:rsidP="001E114F">
            <w:pPr>
              <w:autoSpaceDE w:val="0"/>
              <w:autoSpaceDN w:val="0"/>
              <w:adjustRightInd w:val="0"/>
              <w:ind w:firstLine="77"/>
              <w:contextualSpacing/>
              <w:rPr>
                <w:sz w:val="20"/>
                <w:szCs w:val="20"/>
              </w:rPr>
            </w:pPr>
          </w:p>
        </w:tc>
        <w:tc>
          <w:tcPr>
            <w:tcW w:w="385" w:type="pct"/>
            <w:vMerge/>
            <w:tcBorders>
              <w:left w:val="single" w:sz="4" w:space="0" w:color="auto"/>
              <w:bottom w:val="single" w:sz="4" w:space="0" w:color="auto"/>
              <w:right w:val="single" w:sz="4" w:space="0" w:color="auto"/>
            </w:tcBorders>
          </w:tcPr>
          <w:p w:rsidR="005D4418" w:rsidRPr="00355BFD" w:rsidRDefault="005D4418" w:rsidP="001E114F">
            <w:pPr>
              <w:autoSpaceDE w:val="0"/>
              <w:autoSpaceDN w:val="0"/>
              <w:adjustRightInd w:val="0"/>
              <w:ind w:firstLine="77"/>
              <w:contextualSpacing/>
              <w:rPr>
                <w:sz w:val="20"/>
                <w:szCs w:val="20"/>
              </w:rPr>
            </w:pPr>
          </w:p>
        </w:tc>
      </w:tr>
    </w:tbl>
    <w:p w:rsidR="00C1613C" w:rsidRDefault="00C1613C" w:rsidP="00427C62">
      <w:pPr>
        <w:widowControl w:val="0"/>
        <w:tabs>
          <w:tab w:val="left" w:pos="708"/>
        </w:tabs>
        <w:suppressAutoHyphens/>
        <w:autoSpaceDE w:val="0"/>
        <w:autoSpaceDN w:val="0"/>
        <w:ind w:firstLine="709"/>
        <w:jc w:val="center"/>
        <w:textAlignment w:val="baseline"/>
        <w:rPr>
          <w:rFonts w:eastAsia="Lucida Sans Unicode"/>
          <w:b/>
          <w:kern w:val="3"/>
        </w:rPr>
      </w:pPr>
    </w:p>
    <w:p w:rsidR="00427C62" w:rsidRDefault="00427C62" w:rsidP="00427C62">
      <w:pPr>
        <w:widowControl w:val="0"/>
        <w:tabs>
          <w:tab w:val="left" w:pos="708"/>
        </w:tabs>
        <w:suppressAutoHyphens/>
        <w:autoSpaceDE w:val="0"/>
        <w:autoSpaceDN w:val="0"/>
        <w:ind w:firstLine="709"/>
        <w:jc w:val="center"/>
        <w:textAlignment w:val="baseline"/>
        <w:rPr>
          <w:rFonts w:eastAsia="Lucida Sans Unicode"/>
          <w:b/>
          <w:kern w:val="3"/>
        </w:rPr>
      </w:pPr>
      <w:r>
        <w:rPr>
          <w:rFonts w:eastAsia="Lucida Sans Unicode"/>
          <w:b/>
          <w:kern w:val="3"/>
        </w:rPr>
        <w:t>Наименование, характеристики и количество поставляемых товаров</w:t>
      </w:r>
    </w:p>
    <w:p w:rsidR="00427C62" w:rsidRDefault="00427C62" w:rsidP="00C1613C">
      <w:pPr>
        <w:pStyle w:val="ConsPlusNormal"/>
        <w:keepNext/>
        <w:keepLines/>
        <w:ind w:firstLine="0"/>
        <w:jc w:val="both"/>
        <w:rPr>
          <w:rFonts w:ascii="Times New Roman" w:eastAsia="Calibri" w:hAnsi="Times New Roman" w:cs="Times New Roman"/>
        </w:rPr>
      </w:pPr>
      <w:r>
        <w:rPr>
          <w:rFonts w:ascii="Times New Roman" w:hAnsi="Times New Roman" w:cs="Times New Roman"/>
        </w:rPr>
        <w:t>Для целей настоящей закупки используется терминология, определенная Приказом Минтруда России от 13.02.2018 г. № 86 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126DEB" w:rsidRDefault="00126DEB"/>
    <w:sectPr w:rsidR="00126DEB" w:rsidSect="00D7115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0D2" w:rsidRDefault="001370D2" w:rsidP="00D7115C">
      <w:r>
        <w:separator/>
      </w:r>
    </w:p>
  </w:endnote>
  <w:endnote w:type="continuationSeparator" w:id="0">
    <w:p w:rsidR="001370D2" w:rsidRDefault="001370D2"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CC"/>
    <w:family w:val="auto"/>
    <w:pitch w:val="default"/>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0D2" w:rsidRDefault="001370D2" w:rsidP="00D7115C">
      <w:r>
        <w:separator/>
      </w:r>
    </w:p>
  </w:footnote>
  <w:footnote w:type="continuationSeparator" w:id="0">
    <w:p w:rsidR="001370D2" w:rsidRDefault="001370D2" w:rsidP="00D7115C">
      <w:r>
        <w:continuationSeparator/>
      </w:r>
    </w:p>
  </w:footnote>
  <w:footnote w:id="1">
    <w:p w:rsidR="005D4418" w:rsidRDefault="005D4418" w:rsidP="005D4418">
      <w:pPr>
        <w:pStyle w:val="a3"/>
      </w:pPr>
      <w:r>
        <w:rPr>
          <w:vertAlign w:val="superscript"/>
        </w:rPr>
        <w:t xml:space="preserve">1 </w:t>
      </w:r>
      <w:r w:rsidRPr="00E91547">
        <w:t>Пустые ячейки заполнению не подлежат. В случае заполнения участником пустых ячеек, такие значения показателя при рассмотрении предложения участника не будут учитываться.</w:t>
      </w:r>
    </w:p>
  </w:footnote>
  <w:footnote w:id="2">
    <w:p w:rsidR="005D4418" w:rsidRDefault="005D4418" w:rsidP="005D4418">
      <w:pPr>
        <w:pStyle w:val="a3"/>
      </w:pPr>
      <w:r w:rsidRPr="00985908">
        <w:rPr>
          <w:vertAlign w:val="superscript"/>
        </w:rPr>
        <w:t>2</w:t>
      </w:r>
      <w:r>
        <w:t xml:space="preserve"> </w:t>
      </w:r>
      <w:r w:rsidRPr="00985908">
        <w:t>Вносить</w:t>
      </w:r>
      <w:r w:rsidRPr="006A5649">
        <w:t xml:space="preserve"> изменения в наименования показателей не допускается.</w:t>
      </w:r>
    </w:p>
  </w:footnote>
  <w:footnote w:id="3">
    <w:p w:rsidR="005D4418" w:rsidRPr="00985908" w:rsidRDefault="005D4418" w:rsidP="005D4418">
      <w:pPr>
        <w:pStyle w:val="a3"/>
      </w:pPr>
      <w:r w:rsidRPr="004B0A89">
        <w:rPr>
          <w:vertAlign w:val="superscript"/>
        </w:rPr>
        <w:t>3</w:t>
      </w:r>
      <w:r>
        <w:rPr>
          <w:vertAlign w:val="superscript"/>
        </w:rPr>
        <w:t xml:space="preserve"> </w:t>
      </w:r>
      <w:r w:rsidRPr="00985908">
        <w:t>Вносить</w:t>
      </w:r>
      <w:r w:rsidRPr="006A5649">
        <w:t xml:space="preserve"> изменения в неизменяемое значение показателя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5">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7"/>
  </w:num>
  <w:num w:numId="4">
    <w:abstractNumId w:val="11"/>
  </w:num>
  <w:num w:numId="5">
    <w:abstractNumId w:val="26"/>
  </w:num>
  <w:num w:numId="6">
    <w:abstractNumId w:val="25"/>
  </w:num>
  <w:num w:numId="7">
    <w:abstractNumId w:val="20"/>
  </w:num>
  <w:num w:numId="8">
    <w:abstractNumId w:val="12"/>
  </w:num>
  <w:num w:numId="9">
    <w:abstractNumId w:val="9"/>
  </w:num>
  <w:num w:numId="10">
    <w:abstractNumId w:val="6"/>
  </w:num>
  <w:num w:numId="11">
    <w:abstractNumId w:val="23"/>
  </w:num>
  <w:num w:numId="12">
    <w:abstractNumId w:val="7"/>
  </w:num>
  <w:num w:numId="13">
    <w:abstractNumId w:val="27"/>
  </w:num>
  <w:num w:numId="14">
    <w:abstractNumId w:val="28"/>
  </w:num>
  <w:num w:numId="15">
    <w:abstractNumId w:val="18"/>
  </w:num>
  <w:num w:numId="16">
    <w:abstractNumId w:val="13"/>
  </w:num>
  <w:num w:numId="17">
    <w:abstractNumId w:val="8"/>
  </w:num>
  <w:num w:numId="18">
    <w:abstractNumId w:val="3"/>
  </w:num>
  <w:num w:numId="19">
    <w:abstractNumId w:val="14"/>
  </w:num>
  <w:num w:numId="20">
    <w:abstractNumId w:val="4"/>
  </w:num>
  <w:num w:numId="21">
    <w:abstractNumId w:val="0"/>
  </w:num>
  <w:num w:numId="22">
    <w:abstractNumId w:val="24"/>
  </w:num>
  <w:num w:numId="23">
    <w:abstractNumId w:val="16"/>
  </w:num>
  <w:num w:numId="24">
    <w:abstractNumId w:val="21"/>
  </w:num>
  <w:num w:numId="25">
    <w:abstractNumId w:val="22"/>
  </w:num>
  <w:num w:numId="26">
    <w:abstractNumId w:val="10"/>
  </w:num>
  <w:num w:numId="27">
    <w:abstractNumId w:val="15"/>
  </w:num>
  <w:num w:numId="28">
    <w:abstractNumId w:val="19"/>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A357E"/>
    <w:rsid w:val="000A37D4"/>
    <w:rsid w:val="000D3DE0"/>
    <w:rsid w:val="00126DEB"/>
    <w:rsid w:val="001370D2"/>
    <w:rsid w:val="001A1B23"/>
    <w:rsid w:val="00310864"/>
    <w:rsid w:val="003210F2"/>
    <w:rsid w:val="003D486E"/>
    <w:rsid w:val="00427C62"/>
    <w:rsid w:val="00457089"/>
    <w:rsid w:val="004667AA"/>
    <w:rsid w:val="004D497F"/>
    <w:rsid w:val="004F2140"/>
    <w:rsid w:val="00585EDA"/>
    <w:rsid w:val="005935A0"/>
    <w:rsid w:val="005D4418"/>
    <w:rsid w:val="007214BD"/>
    <w:rsid w:val="007C105E"/>
    <w:rsid w:val="007F2A0B"/>
    <w:rsid w:val="00852E8C"/>
    <w:rsid w:val="008A00DE"/>
    <w:rsid w:val="008A35F0"/>
    <w:rsid w:val="009226AD"/>
    <w:rsid w:val="009A4C9B"/>
    <w:rsid w:val="00A520C7"/>
    <w:rsid w:val="00AC04AF"/>
    <w:rsid w:val="00B201AE"/>
    <w:rsid w:val="00B45B9E"/>
    <w:rsid w:val="00BB7977"/>
    <w:rsid w:val="00C1613C"/>
    <w:rsid w:val="00CA3011"/>
    <w:rsid w:val="00CB0C96"/>
    <w:rsid w:val="00CB473D"/>
    <w:rsid w:val="00D01082"/>
    <w:rsid w:val="00D7115C"/>
    <w:rsid w:val="00D8164D"/>
    <w:rsid w:val="00D865A8"/>
    <w:rsid w:val="00DC4D5C"/>
    <w:rsid w:val="00E35808"/>
    <w:rsid w:val="00ED4626"/>
    <w:rsid w:val="00F34F37"/>
    <w:rsid w:val="00FA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nhideWhenUsed/>
    <w:rsid w:val="00427C62"/>
    <w:rPr>
      <w:rFonts w:ascii="Tahoma" w:eastAsiaTheme="minorEastAsia" w:hAnsi="Tahoma" w:cs="Tahoma"/>
      <w:sz w:val="16"/>
      <w:szCs w:val="16"/>
    </w:rPr>
  </w:style>
  <w:style w:type="character" w:customStyle="1" w:styleId="a7">
    <w:name w:val="Текст выноски Знак"/>
    <w:basedOn w:val="a0"/>
    <w:link w:val="a6"/>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3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0">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1">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2">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3">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4">
    <w:name w:val="Body Text 2"/>
    <w:basedOn w:val="a"/>
    <w:link w:val="25"/>
    <w:uiPriority w:val="99"/>
    <w:unhideWhenUsed/>
    <w:rsid w:val="00427C62"/>
    <w:pPr>
      <w:spacing w:after="120" w:line="480" w:lineRule="auto"/>
    </w:pPr>
  </w:style>
  <w:style w:type="character" w:customStyle="1" w:styleId="25">
    <w:name w:val="Основной текст 2 Знак"/>
    <w:basedOn w:val="a0"/>
    <w:link w:val="24"/>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6">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313</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26</cp:revision>
  <dcterms:created xsi:type="dcterms:W3CDTF">2020-08-12T05:43:00Z</dcterms:created>
  <dcterms:modified xsi:type="dcterms:W3CDTF">2020-12-10T12:39:00Z</dcterms:modified>
</cp:coreProperties>
</file>