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3B" w:rsidRPr="0078494C" w:rsidRDefault="00B7513B" w:rsidP="00B7513B">
      <w:pPr>
        <w:contextualSpacing/>
        <w:jc w:val="center"/>
        <w:rPr>
          <w:rFonts w:ascii="Times New Roman" w:hAnsi="Times New Roman" w:cs="Times New Roman"/>
          <w:bCs/>
          <w:spacing w:val="-7"/>
        </w:rPr>
      </w:pPr>
    </w:p>
    <w:p w:rsidR="00B7513B" w:rsidRPr="0078494C" w:rsidRDefault="00B7513B" w:rsidP="00B7513B">
      <w:pPr>
        <w:contextualSpacing/>
        <w:jc w:val="center"/>
        <w:rPr>
          <w:rFonts w:ascii="Times New Roman" w:hAnsi="Times New Roman" w:cs="Times New Roman"/>
          <w:bCs/>
          <w:spacing w:val="-7"/>
        </w:rPr>
      </w:pPr>
      <w:r w:rsidRPr="0078494C">
        <w:rPr>
          <w:rFonts w:ascii="Times New Roman" w:hAnsi="Times New Roman" w:cs="Times New Roman"/>
          <w:bCs/>
          <w:spacing w:val="-7"/>
        </w:rPr>
        <w:t>ТЕХНИЧЕСКОЕ ЗАДАНИЕ</w:t>
      </w:r>
    </w:p>
    <w:p w:rsidR="00B7513B" w:rsidRPr="0078494C" w:rsidRDefault="00B7513B" w:rsidP="00B7513B">
      <w:pPr>
        <w:keepNext/>
        <w:keepLines/>
        <w:jc w:val="center"/>
        <w:rPr>
          <w:rFonts w:ascii="Times New Roman" w:hAnsi="Times New Roman" w:cs="Times New Roman"/>
          <w:b/>
        </w:rPr>
      </w:pPr>
      <w:r>
        <w:rPr>
          <w:rFonts w:ascii="Times New Roman" w:hAnsi="Times New Roman" w:cs="Times New Roman"/>
          <w:b/>
        </w:rPr>
        <w:t xml:space="preserve">На поставку топлива марки </w:t>
      </w:r>
      <w:r w:rsidRPr="0078494C">
        <w:rPr>
          <w:rFonts w:ascii="Times New Roman" w:hAnsi="Times New Roman" w:cs="Times New Roman"/>
          <w:b/>
        </w:rPr>
        <w:t>АИ-95, предоставляемого при предъявлении пластиковых карт и</w:t>
      </w:r>
      <w:r>
        <w:rPr>
          <w:rFonts w:ascii="Times New Roman" w:hAnsi="Times New Roman" w:cs="Times New Roman"/>
          <w:b/>
        </w:rPr>
        <w:t>ли</w:t>
      </w:r>
      <w:r w:rsidRPr="0078494C">
        <w:rPr>
          <w:rFonts w:ascii="Times New Roman" w:hAnsi="Times New Roman" w:cs="Times New Roman"/>
          <w:b/>
        </w:rPr>
        <w:t xml:space="preserve"> электронных талонов для автомобилей Государственного учреждения - Московского областного регионального отделения Фонда социального страхования Российской Федерации на 2021 год</w:t>
      </w:r>
    </w:p>
    <w:p w:rsidR="00B7513B" w:rsidRPr="0078494C" w:rsidRDefault="00B7513B" w:rsidP="00B7513B">
      <w:pPr>
        <w:ind w:firstLine="709"/>
        <w:contextualSpacing/>
        <w:jc w:val="both"/>
        <w:rPr>
          <w:rFonts w:ascii="Times New Roman" w:hAnsi="Times New Roman" w:cs="Times New Roman"/>
          <w:b/>
        </w:rPr>
      </w:pPr>
    </w:p>
    <w:p w:rsidR="00B7513B" w:rsidRPr="0078494C" w:rsidRDefault="00B7513B" w:rsidP="00B7513B">
      <w:pPr>
        <w:keepNext/>
        <w:widowControl w:val="0"/>
        <w:ind w:firstLine="709"/>
        <w:jc w:val="both"/>
        <w:rPr>
          <w:rFonts w:ascii="Times New Roman" w:hAnsi="Times New Roman" w:cs="Times New Roman"/>
        </w:rPr>
      </w:pPr>
      <w:r w:rsidRPr="0078494C">
        <w:rPr>
          <w:rFonts w:ascii="Times New Roman" w:hAnsi="Times New Roman" w:cs="Times New Roman"/>
          <w:b/>
          <w:bCs/>
        </w:rPr>
        <w:t>Наименование объекта закупки:</w:t>
      </w:r>
      <w:r w:rsidRPr="0078494C">
        <w:rPr>
          <w:rFonts w:ascii="Times New Roman" w:hAnsi="Times New Roman" w:cs="Times New Roman"/>
        </w:rPr>
        <w:t xml:space="preserve"> Поставка топлива </w:t>
      </w:r>
      <w:r>
        <w:rPr>
          <w:rFonts w:ascii="Times New Roman" w:hAnsi="Times New Roman" w:cs="Times New Roman"/>
        </w:rPr>
        <w:t xml:space="preserve">марки </w:t>
      </w:r>
      <w:r w:rsidRPr="0078494C">
        <w:rPr>
          <w:rFonts w:ascii="Times New Roman" w:hAnsi="Times New Roman" w:cs="Times New Roman"/>
        </w:rPr>
        <w:t>АИ-95, предоставляемого при предъявлении пластиковых карт или электронных талонов для автомобилей Государственного учреждения - Московского областного регионального отделения Фонда социального страхования Российской Федерации на 2021год.</w:t>
      </w:r>
    </w:p>
    <w:p w:rsidR="00B7513B" w:rsidRPr="0078494C" w:rsidRDefault="00B7513B" w:rsidP="00B7513B">
      <w:pPr>
        <w:keepNext/>
        <w:widowControl w:val="0"/>
        <w:ind w:firstLine="709"/>
        <w:jc w:val="both"/>
        <w:rPr>
          <w:rFonts w:ascii="Times New Roman" w:hAnsi="Times New Roman" w:cs="Times New Roman"/>
        </w:rPr>
      </w:pPr>
      <w:r w:rsidRPr="0078494C">
        <w:rPr>
          <w:rFonts w:ascii="Times New Roman" w:hAnsi="Times New Roman" w:cs="Times New Roman"/>
          <w:b/>
        </w:rPr>
        <w:t xml:space="preserve">Срок предоставления пластиковых карт - </w:t>
      </w:r>
      <w:r w:rsidRPr="0078494C">
        <w:rPr>
          <w:rFonts w:ascii="Times New Roman" w:hAnsi="Times New Roman" w:cs="Times New Roman"/>
        </w:rPr>
        <w:t xml:space="preserve">в течение 1 (одного) рабочего дня </w:t>
      </w:r>
      <w:proofErr w:type="gramStart"/>
      <w:r w:rsidRPr="0078494C">
        <w:rPr>
          <w:rFonts w:ascii="Times New Roman" w:hAnsi="Times New Roman" w:cs="Times New Roman"/>
        </w:rPr>
        <w:t>с даты подписания</w:t>
      </w:r>
      <w:proofErr w:type="gramEnd"/>
      <w:r w:rsidRPr="0078494C">
        <w:rPr>
          <w:rFonts w:ascii="Times New Roman" w:hAnsi="Times New Roman" w:cs="Times New Roman"/>
        </w:rPr>
        <w:t xml:space="preserve"> Контракта.</w:t>
      </w:r>
    </w:p>
    <w:p w:rsidR="00B7513B" w:rsidRPr="0078494C" w:rsidRDefault="00B7513B" w:rsidP="00B7513B">
      <w:pPr>
        <w:keepNext/>
        <w:widowControl w:val="0"/>
        <w:ind w:firstLine="709"/>
        <w:jc w:val="both"/>
        <w:rPr>
          <w:rFonts w:ascii="Times New Roman" w:hAnsi="Times New Roman" w:cs="Times New Roman"/>
        </w:rPr>
      </w:pPr>
      <w:r w:rsidRPr="0078494C">
        <w:rPr>
          <w:rFonts w:ascii="Times New Roman" w:hAnsi="Times New Roman" w:cs="Times New Roman"/>
          <w:b/>
        </w:rPr>
        <w:t>Сроки действия Контракта</w:t>
      </w:r>
      <w:r w:rsidRPr="0078494C">
        <w:rPr>
          <w:rFonts w:ascii="Times New Roman" w:hAnsi="Times New Roman" w:cs="Times New Roman"/>
        </w:rPr>
        <w:t xml:space="preserve"> - </w:t>
      </w:r>
      <w:proofErr w:type="gramStart"/>
      <w:r w:rsidRPr="0078494C">
        <w:rPr>
          <w:rFonts w:ascii="Times New Roman" w:hAnsi="Times New Roman" w:cs="Times New Roman"/>
        </w:rPr>
        <w:t>с даты заключения</w:t>
      </w:r>
      <w:proofErr w:type="gramEnd"/>
      <w:r w:rsidRPr="0078494C">
        <w:rPr>
          <w:rFonts w:ascii="Times New Roman" w:hAnsi="Times New Roman" w:cs="Times New Roman"/>
        </w:rPr>
        <w:t xml:space="preserve"> по 31 декабря 2021 года включительно.</w:t>
      </w:r>
    </w:p>
    <w:p w:rsidR="00B7513B" w:rsidRPr="0078494C" w:rsidRDefault="00B7513B" w:rsidP="00B7513B">
      <w:pPr>
        <w:keepNext/>
        <w:widowControl w:val="0"/>
        <w:ind w:firstLine="709"/>
        <w:jc w:val="both"/>
        <w:rPr>
          <w:rFonts w:ascii="Times New Roman" w:hAnsi="Times New Roman" w:cs="Times New Roman"/>
        </w:rPr>
      </w:pPr>
      <w:r w:rsidRPr="0078494C">
        <w:rPr>
          <w:rFonts w:ascii="Times New Roman" w:hAnsi="Times New Roman" w:cs="Times New Roman"/>
          <w:b/>
        </w:rPr>
        <w:t xml:space="preserve">Сроки оказания услуг (выполнения работ, поставки товара) </w:t>
      </w:r>
      <w:r w:rsidRPr="0078494C">
        <w:rPr>
          <w:rFonts w:ascii="Times New Roman" w:hAnsi="Times New Roman" w:cs="Times New Roman"/>
        </w:rPr>
        <w:t xml:space="preserve">- </w:t>
      </w:r>
      <w:proofErr w:type="gramStart"/>
      <w:r w:rsidRPr="0078494C">
        <w:rPr>
          <w:rFonts w:ascii="Times New Roman" w:hAnsi="Times New Roman" w:cs="Times New Roman"/>
        </w:rPr>
        <w:t>с даты заключения</w:t>
      </w:r>
      <w:proofErr w:type="gramEnd"/>
      <w:r w:rsidRPr="0078494C">
        <w:rPr>
          <w:rFonts w:ascii="Times New Roman" w:hAnsi="Times New Roman" w:cs="Times New Roman"/>
        </w:rPr>
        <w:t xml:space="preserve"> Контракта, но не ранее чем с 01.07.2021, по 31 декабря 2021 года включительно.</w:t>
      </w:r>
    </w:p>
    <w:p w:rsidR="00B7513B" w:rsidRPr="0078494C" w:rsidRDefault="00B7513B" w:rsidP="00B7513B">
      <w:pPr>
        <w:keepNext/>
        <w:widowControl w:val="0"/>
        <w:ind w:firstLine="709"/>
        <w:jc w:val="both"/>
        <w:rPr>
          <w:rFonts w:ascii="Times New Roman" w:hAnsi="Times New Roman" w:cs="Times New Roman"/>
        </w:rPr>
      </w:pPr>
      <w:r w:rsidRPr="0078494C">
        <w:rPr>
          <w:rFonts w:ascii="Times New Roman" w:hAnsi="Times New Roman" w:cs="Times New Roman"/>
          <w:b/>
        </w:rPr>
        <w:t>Место поставки товара, выполненных работ, оказания услуг</w:t>
      </w:r>
      <w:r w:rsidRPr="0078494C">
        <w:rPr>
          <w:rFonts w:ascii="Times New Roman" w:hAnsi="Times New Roman" w:cs="Times New Roman"/>
        </w:rPr>
        <w:t xml:space="preserve"> - на автозаправочных станциях при предъявлении пластиковых карт или электронных талонов в каждом административном округе г. Москвы и Московской области. </w:t>
      </w:r>
    </w:p>
    <w:p w:rsidR="00B7513B" w:rsidRPr="0078494C" w:rsidRDefault="00B7513B" w:rsidP="00B7513B">
      <w:pPr>
        <w:keepNext/>
        <w:widowControl w:val="0"/>
        <w:ind w:firstLine="709"/>
        <w:jc w:val="both"/>
        <w:rPr>
          <w:rFonts w:ascii="Times New Roman" w:hAnsi="Times New Roman" w:cs="Times New Roman"/>
        </w:rPr>
      </w:pPr>
      <w:r w:rsidRPr="0078494C">
        <w:rPr>
          <w:rFonts w:ascii="Times New Roman" w:hAnsi="Times New Roman" w:cs="Times New Roman"/>
        </w:rPr>
        <w:t>Доставка пластиковых карт осуществляется поставщиком по адресу: г. Москва ул. 3-я Хорошевская, д. 12.</w:t>
      </w:r>
    </w:p>
    <w:p w:rsidR="00B7513B" w:rsidRPr="0078494C" w:rsidRDefault="00B7513B" w:rsidP="00B7513B">
      <w:pPr>
        <w:ind w:firstLine="709"/>
        <w:contextualSpacing/>
        <w:jc w:val="both"/>
        <w:rPr>
          <w:rFonts w:ascii="Times New Roman" w:hAnsi="Times New Roman" w:cs="Times New Roman"/>
          <w:b/>
        </w:rPr>
      </w:pP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b/>
        </w:rPr>
        <w:t>Топливо:</w:t>
      </w:r>
      <w:r w:rsidRPr="0078494C">
        <w:rPr>
          <w:rFonts w:ascii="Times New Roman" w:hAnsi="Times New Roman" w:cs="Times New Roman"/>
        </w:rPr>
        <w:t xml:space="preserve"> Бензин АИ-95, отпускаемый Заказчику через Торговые точки (АЗС), где организована форма отпуска и существует технологическая возможность обслуживания по системе безналичных расчетов по электронным талонам литрового номинала и смарт-карт (топливных карт).</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b/>
          <w:bCs/>
        </w:rPr>
        <w:t>Количество поставляемого бензина АИ-95-К5:</w:t>
      </w:r>
    </w:p>
    <w:tbl>
      <w:tblPr>
        <w:tblW w:w="9293" w:type="dxa"/>
        <w:tblInd w:w="108" w:type="dxa"/>
        <w:shd w:val="clear" w:color="auto" w:fill="FFFFFF"/>
        <w:tblCellMar>
          <w:left w:w="0" w:type="dxa"/>
          <w:right w:w="0" w:type="dxa"/>
        </w:tblCellMar>
        <w:tblLook w:val="04A0" w:firstRow="1" w:lastRow="0" w:firstColumn="1" w:lastColumn="0" w:noHBand="0" w:noVBand="1"/>
      </w:tblPr>
      <w:tblGrid>
        <w:gridCol w:w="930"/>
        <w:gridCol w:w="4838"/>
        <w:gridCol w:w="3525"/>
      </w:tblGrid>
      <w:tr w:rsidR="00B7513B" w:rsidRPr="0078494C" w:rsidTr="00674CFB">
        <w:trPr>
          <w:trHeight w:val="401"/>
        </w:trPr>
        <w:tc>
          <w:tcPr>
            <w:tcW w:w="9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right="34"/>
              <w:contextualSpacing/>
              <w:jc w:val="center"/>
              <w:rPr>
                <w:rFonts w:ascii="Times New Roman" w:hAnsi="Times New Roman" w:cs="Times New Roman"/>
              </w:rPr>
            </w:pPr>
            <w:proofErr w:type="gramStart"/>
            <w:r w:rsidRPr="0078494C">
              <w:rPr>
                <w:rFonts w:ascii="Times New Roman" w:hAnsi="Times New Roman" w:cs="Times New Roman"/>
              </w:rPr>
              <w:t>п</w:t>
            </w:r>
            <w:proofErr w:type="gramEnd"/>
            <w:r w:rsidRPr="0078494C">
              <w:rPr>
                <w:rFonts w:ascii="Times New Roman" w:hAnsi="Times New Roman" w:cs="Times New Roman"/>
              </w:rPr>
              <w:t>/п</w:t>
            </w:r>
          </w:p>
        </w:tc>
        <w:tc>
          <w:tcPr>
            <w:tcW w:w="48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center"/>
              <w:rPr>
                <w:rFonts w:ascii="Times New Roman" w:hAnsi="Times New Roman" w:cs="Times New Roman"/>
              </w:rPr>
            </w:pPr>
            <w:r w:rsidRPr="0078494C">
              <w:rPr>
                <w:rFonts w:ascii="Times New Roman" w:hAnsi="Times New Roman" w:cs="Times New Roman"/>
              </w:rPr>
              <w:t>Тип топлива</w:t>
            </w:r>
          </w:p>
        </w:tc>
        <w:tc>
          <w:tcPr>
            <w:tcW w:w="35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center"/>
              <w:rPr>
                <w:rFonts w:ascii="Times New Roman" w:hAnsi="Times New Roman" w:cs="Times New Roman"/>
              </w:rPr>
            </w:pPr>
            <w:r w:rsidRPr="0078494C">
              <w:rPr>
                <w:rFonts w:ascii="Times New Roman" w:hAnsi="Times New Roman" w:cs="Times New Roman"/>
              </w:rPr>
              <w:t>Количество, литры</w:t>
            </w:r>
          </w:p>
        </w:tc>
      </w:tr>
      <w:tr w:rsidR="00B7513B" w:rsidRPr="0078494C" w:rsidTr="00674CFB">
        <w:trPr>
          <w:trHeight w:val="359"/>
        </w:trPr>
        <w:tc>
          <w:tcPr>
            <w:tcW w:w="93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right="317" w:firstLine="44"/>
              <w:contextualSpacing/>
              <w:jc w:val="center"/>
              <w:rPr>
                <w:rFonts w:ascii="Times New Roman" w:hAnsi="Times New Roman" w:cs="Times New Roman"/>
              </w:rPr>
            </w:pPr>
            <w:r w:rsidRPr="0078494C">
              <w:rPr>
                <w:rFonts w:ascii="Times New Roman" w:hAnsi="Times New Roman" w:cs="Times New Roman"/>
              </w:rPr>
              <w:t>1</w:t>
            </w:r>
          </w:p>
        </w:tc>
        <w:tc>
          <w:tcPr>
            <w:tcW w:w="483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center"/>
              <w:rPr>
                <w:rFonts w:ascii="Times New Roman" w:hAnsi="Times New Roman" w:cs="Times New Roman"/>
              </w:rPr>
            </w:pPr>
            <w:r w:rsidRPr="0078494C">
              <w:rPr>
                <w:rFonts w:ascii="Times New Roman" w:hAnsi="Times New Roman" w:cs="Times New Roman"/>
              </w:rPr>
              <w:t>Бензин АИ-95</w:t>
            </w:r>
          </w:p>
        </w:tc>
        <w:tc>
          <w:tcPr>
            <w:tcW w:w="352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center"/>
              <w:rPr>
                <w:rFonts w:ascii="Times New Roman" w:hAnsi="Times New Roman" w:cs="Times New Roman"/>
              </w:rPr>
            </w:pPr>
            <w:r>
              <w:rPr>
                <w:rFonts w:ascii="Times New Roman" w:hAnsi="Times New Roman" w:cs="Times New Roman"/>
              </w:rPr>
              <w:t>53</w:t>
            </w:r>
            <w:r w:rsidRPr="0078494C">
              <w:rPr>
                <w:rFonts w:ascii="Times New Roman" w:hAnsi="Times New Roman" w:cs="Times New Roman"/>
              </w:rPr>
              <w:t xml:space="preserve"> 8</w:t>
            </w:r>
            <w:r>
              <w:rPr>
                <w:rFonts w:ascii="Times New Roman" w:hAnsi="Times New Roman" w:cs="Times New Roman"/>
              </w:rPr>
              <w:t>00</w:t>
            </w:r>
          </w:p>
        </w:tc>
      </w:tr>
      <w:tr w:rsidR="00B7513B" w:rsidRPr="0078494C" w:rsidTr="00674CFB">
        <w:trPr>
          <w:trHeight w:val="359"/>
        </w:trPr>
        <w:tc>
          <w:tcPr>
            <w:tcW w:w="5768"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7513B" w:rsidRPr="0078494C" w:rsidRDefault="00B7513B" w:rsidP="00674CFB">
            <w:pPr>
              <w:spacing w:before="100" w:beforeAutospacing="1"/>
              <w:contextualSpacing/>
              <w:jc w:val="center"/>
              <w:rPr>
                <w:rFonts w:ascii="Times New Roman" w:hAnsi="Times New Roman" w:cs="Times New Roman"/>
              </w:rPr>
            </w:pPr>
            <w:r w:rsidRPr="0078494C">
              <w:rPr>
                <w:rStyle w:val="FontStyle18"/>
                <w:sz w:val="24"/>
                <w:szCs w:val="24"/>
              </w:rPr>
              <w:t>Общее кол-во (л)</w:t>
            </w:r>
          </w:p>
        </w:tc>
        <w:tc>
          <w:tcPr>
            <w:tcW w:w="352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7513B" w:rsidRPr="0078494C" w:rsidRDefault="00B7513B" w:rsidP="00674CFB">
            <w:pPr>
              <w:spacing w:before="100" w:beforeAutospacing="1"/>
              <w:contextualSpacing/>
              <w:jc w:val="center"/>
              <w:rPr>
                <w:rFonts w:ascii="Times New Roman" w:hAnsi="Times New Roman" w:cs="Times New Roman"/>
              </w:rPr>
            </w:pPr>
            <w:r>
              <w:rPr>
                <w:rFonts w:ascii="Times New Roman" w:hAnsi="Times New Roman" w:cs="Times New Roman"/>
              </w:rPr>
              <w:t>53</w:t>
            </w:r>
            <w:r w:rsidRPr="0078494C">
              <w:rPr>
                <w:rFonts w:ascii="Times New Roman" w:hAnsi="Times New Roman" w:cs="Times New Roman"/>
              </w:rPr>
              <w:t xml:space="preserve"> 8</w:t>
            </w:r>
            <w:r>
              <w:rPr>
                <w:rFonts w:ascii="Times New Roman" w:hAnsi="Times New Roman" w:cs="Times New Roman"/>
              </w:rPr>
              <w:t>00</w:t>
            </w:r>
          </w:p>
        </w:tc>
      </w:tr>
    </w:tbl>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Обслуживание осуществляется по подаваемому Заказчиком списку автотранспорта, подлежащему заправке в сети автозаправочных станций (АЗС), с фиксированной суточной нормой заправки в литрах (по заявке, направленной по факсу, электронной почте или по телефону).</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При обслуживании с использованием смарт-карт (топливных карт) и электронных талонов литрового номинала, поставка и передача Карт и талонов Заказчику, осуществляется силами Поставщика и за счет его собственных средств, производится на основании Акта приемки-передачи. В любой момент обращения Заказчика Поставщик обеспечивает круглосуточную заправку транспортных средств Заказчика бензином (посредством использования Карт) на автозаправочных станциях, указанных в перечне автозаправочных станций, осуществляющих прием Карт и талонов на топливо. Поставщик, предоставляет услуги такие как: </w:t>
      </w:r>
      <w:r w:rsidRPr="0078494C">
        <w:rPr>
          <w:rFonts w:ascii="Times New Roman" w:hAnsi="Times New Roman" w:cs="Times New Roman"/>
          <w:b/>
          <w:bCs/>
        </w:rPr>
        <w:t>«Личный кабинет» - услуга, позволяющая через </w:t>
      </w:r>
      <w:r w:rsidRPr="0078494C">
        <w:rPr>
          <w:rFonts w:ascii="Times New Roman" w:hAnsi="Times New Roman" w:cs="Times New Roman"/>
          <w:b/>
          <w:bCs/>
          <w:lang w:val="en-US"/>
        </w:rPr>
        <w:t>web</w:t>
      </w:r>
      <w:r w:rsidRPr="0078494C">
        <w:rPr>
          <w:rFonts w:ascii="Times New Roman" w:hAnsi="Times New Roman" w:cs="Times New Roman"/>
          <w:b/>
          <w:bCs/>
        </w:rPr>
        <w:t>-интерфейс получать оперативную информацию о балансе, карт, талонов, транзакциях, а также производить операции, связанные с сопровождением Контракта (ПРЕДОСТАВЛЕНИЕ УСЛУГИ ДОЛЖНО ОСУЩЕСТВЛЯТЬСЯ В ОДНОМ ЛИЧНОМ КАБИНЕТЕ С ВОЗМОЖНОСТЬ УПРАВЛЕНИЯ ЛИМИТАМИ).</w:t>
      </w:r>
      <w:r w:rsidRPr="0078494C">
        <w:rPr>
          <w:rFonts w:ascii="Times New Roman" w:hAnsi="Times New Roman" w:cs="Times New Roman"/>
        </w:rPr>
        <w:t> «Горячая линия» – услуга круглосуточной поддержки (звонок бесплатный), дающая возможность получения информацию о сети АЗС, состоянии счета, топливных картах и электронных талонов.</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lastRenderedPageBreak/>
        <w:t xml:space="preserve">Поставщик должен предоставить Заказчику возможность осуществлять </w:t>
      </w:r>
      <w:proofErr w:type="gramStart"/>
      <w:r w:rsidRPr="0078494C">
        <w:rPr>
          <w:rFonts w:ascii="Times New Roman" w:hAnsi="Times New Roman" w:cs="Times New Roman"/>
        </w:rPr>
        <w:t>контроль за</w:t>
      </w:r>
      <w:proofErr w:type="gramEnd"/>
      <w:r w:rsidRPr="0078494C">
        <w:rPr>
          <w:rFonts w:ascii="Times New Roman" w:hAnsi="Times New Roman" w:cs="Times New Roman"/>
        </w:rPr>
        <w:t xml:space="preserve"> пополнением и использованием топливных карт (наличие терминала, электронного либо иного устройства) позволяющего осуществлять контроль за пополнением, снятием и определением общего количества литров соответствующего топлива на пластиковых картах, получать оперативные данные и бухгалтерские документы в системе </w:t>
      </w:r>
      <w:proofErr w:type="spellStart"/>
      <w:r w:rsidRPr="0078494C">
        <w:rPr>
          <w:rFonts w:ascii="Times New Roman" w:hAnsi="Times New Roman" w:cs="Times New Roman"/>
          <w:b/>
          <w:bCs/>
        </w:rPr>
        <w:t>On-Line</w:t>
      </w:r>
      <w:proofErr w:type="spellEnd"/>
      <w:r w:rsidRPr="0078494C">
        <w:rPr>
          <w:rFonts w:ascii="Times New Roman" w:hAnsi="Times New Roman" w:cs="Times New Roman"/>
        </w:rPr>
        <w:t>.</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bCs/>
        </w:rPr>
        <w:t>При использовании топливных карт Поставщик предоставляет возможность дистанционного (без предъявления карты Поставщику) управления топливными картами:</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b/>
        </w:rPr>
      </w:pPr>
      <w:r>
        <w:rPr>
          <w:rFonts w:ascii="Times New Roman" w:hAnsi="Times New Roman" w:cs="Times New Roman"/>
          <w:b/>
        </w:rPr>
        <w:t>•</w:t>
      </w:r>
      <w:r w:rsidRPr="0078494C">
        <w:rPr>
          <w:rFonts w:ascii="Times New Roman" w:hAnsi="Times New Roman" w:cs="Times New Roman"/>
          <w:b/>
        </w:rPr>
        <w:t xml:space="preserve"> установка и изменение </w:t>
      </w:r>
      <w:proofErr w:type="spellStart"/>
      <w:r w:rsidRPr="0078494C">
        <w:rPr>
          <w:rFonts w:ascii="Times New Roman" w:hAnsi="Times New Roman" w:cs="Times New Roman"/>
          <w:b/>
        </w:rPr>
        <w:t>пин</w:t>
      </w:r>
      <w:proofErr w:type="spellEnd"/>
      <w:r w:rsidRPr="0078494C">
        <w:rPr>
          <w:rFonts w:ascii="Times New Roman" w:hAnsi="Times New Roman" w:cs="Times New Roman"/>
          <w:b/>
        </w:rPr>
        <w:t>-кода;</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b/>
        </w:rPr>
      </w:pPr>
      <w:r>
        <w:rPr>
          <w:rFonts w:ascii="Times New Roman" w:hAnsi="Times New Roman" w:cs="Times New Roman"/>
          <w:b/>
        </w:rPr>
        <w:t>•</w:t>
      </w:r>
      <w:r w:rsidRPr="0078494C">
        <w:rPr>
          <w:rFonts w:ascii="Times New Roman" w:hAnsi="Times New Roman" w:cs="Times New Roman"/>
          <w:b/>
        </w:rPr>
        <w:t xml:space="preserve"> изменение вида топлива;</w:t>
      </w:r>
    </w:p>
    <w:p w:rsidR="00B7513B" w:rsidRPr="0078494C" w:rsidRDefault="00B7513B" w:rsidP="00B7513B">
      <w:pPr>
        <w:shd w:val="clear" w:color="auto" w:fill="FFFFFF"/>
        <w:spacing w:before="100" w:beforeAutospacing="1"/>
        <w:ind w:firstLine="709"/>
        <w:contextualSpacing/>
        <w:jc w:val="both"/>
        <w:rPr>
          <w:rFonts w:ascii="Times New Roman" w:hAnsi="Times New Roman" w:cs="Times New Roman"/>
          <w:b/>
        </w:rPr>
      </w:pPr>
      <w:r>
        <w:rPr>
          <w:rFonts w:ascii="Times New Roman" w:hAnsi="Times New Roman" w:cs="Times New Roman"/>
          <w:b/>
        </w:rPr>
        <w:t>•</w:t>
      </w:r>
      <w:r w:rsidRPr="0078494C">
        <w:rPr>
          <w:rFonts w:ascii="Times New Roman" w:hAnsi="Times New Roman" w:cs="Times New Roman"/>
          <w:b/>
        </w:rPr>
        <w:t xml:space="preserve"> устанавливать и менять лимит карты –12 часов, 24 часа, 48 часов, неделя, месяц и разового лимита (на рейс);</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b/>
        </w:rPr>
      </w:pPr>
      <w:r>
        <w:rPr>
          <w:rFonts w:ascii="Times New Roman" w:hAnsi="Times New Roman" w:cs="Times New Roman"/>
          <w:b/>
        </w:rPr>
        <w:t>•</w:t>
      </w:r>
      <w:r w:rsidRPr="0078494C">
        <w:rPr>
          <w:rFonts w:ascii="Times New Roman" w:hAnsi="Times New Roman" w:cs="Times New Roman"/>
          <w:b/>
        </w:rPr>
        <w:t xml:space="preserve"> установка и изменение срока действия карт;</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b/>
        </w:rPr>
      </w:pPr>
      <w:r>
        <w:rPr>
          <w:rFonts w:ascii="Times New Roman" w:hAnsi="Times New Roman" w:cs="Times New Roman"/>
          <w:b/>
        </w:rPr>
        <w:t>•</w:t>
      </w:r>
      <w:r w:rsidRPr="0078494C">
        <w:rPr>
          <w:rFonts w:ascii="Times New Roman" w:hAnsi="Times New Roman" w:cs="Times New Roman"/>
          <w:b/>
        </w:rPr>
        <w:t xml:space="preserve"> блокировка и разблокировка карт;</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b/>
        </w:rPr>
      </w:pPr>
      <w:r>
        <w:rPr>
          <w:rFonts w:ascii="Times New Roman" w:hAnsi="Times New Roman" w:cs="Times New Roman"/>
          <w:b/>
        </w:rPr>
        <w:t>•</w:t>
      </w:r>
      <w:r w:rsidRPr="0078494C">
        <w:rPr>
          <w:rFonts w:ascii="Times New Roman" w:hAnsi="Times New Roman" w:cs="Times New Roman"/>
          <w:b/>
        </w:rPr>
        <w:t xml:space="preserve"> изменение держателя карты;</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Список АЗС является неотъемлемой частью </w:t>
      </w:r>
      <w:bookmarkStart w:id="0" w:name="_GoBack"/>
      <w:bookmarkEnd w:id="0"/>
      <w:r w:rsidRPr="0078494C">
        <w:rPr>
          <w:rFonts w:ascii="Times New Roman" w:hAnsi="Times New Roman" w:cs="Times New Roman"/>
        </w:rPr>
        <w:t>и не должен изменяться в сторону уменьшения количества АЗС.</w:t>
      </w:r>
    </w:p>
    <w:p w:rsidR="00B7513B" w:rsidRPr="0078494C" w:rsidRDefault="00B7513B" w:rsidP="00B7513B">
      <w:pPr>
        <w:shd w:val="clear" w:color="auto" w:fill="FFFFFF"/>
        <w:spacing w:before="100" w:beforeAutospacing="1"/>
        <w:ind w:firstLine="709"/>
        <w:contextualSpacing/>
        <w:jc w:val="both"/>
        <w:rPr>
          <w:rFonts w:ascii="Times New Roman" w:hAnsi="Times New Roman" w:cs="Times New Roman"/>
        </w:rPr>
      </w:pPr>
      <w:r w:rsidRPr="0078494C">
        <w:rPr>
          <w:rFonts w:ascii="Times New Roman" w:hAnsi="Times New Roman" w:cs="Times New Roman"/>
          <w:b/>
          <w:bCs/>
        </w:rPr>
        <w:t>Топливные карты (смарт-карты) и электронные талоны литрового номинала:</w:t>
      </w:r>
    </w:p>
    <w:p w:rsidR="00B7513B" w:rsidRPr="0078494C" w:rsidRDefault="00B7513B" w:rsidP="00B7513B">
      <w:pPr>
        <w:shd w:val="clear" w:color="auto" w:fill="FFFFFF"/>
        <w:spacing w:before="100" w:beforeAutospacing="1"/>
        <w:ind w:firstLine="709"/>
        <w:contextualSpacing/>
        <w:jc w:val="both"/>
        <w:rPr>
          <w:rFonts w:ascii="Times New Roman" w:hAnsi="Times New Roman" w:cs="Times New Roman"/>
        </w:rPr>
      </w:pPr>
      <w:r w:rsidRPr="0078494C">
        <w:rPr>
          <w:rFonts w:ascii="Times New Roman" w:hAnsi="Times New Roman" w:cs="Times New Roman"/>
        </w:rPr>
        <w:t>Должны иметь необходимую степень защищенности от подделок, учетные номера. При обнаружении производственных дефектов карт и талонов во время действия Контракта, они подлежат замене Поставщиком, в течение 1 (одного) рабочего дня, с момента получения соответствующей заявки Заказчика.</w:t>
      </w:r>
    </w:p>
    <w:p w:rsidR="00B7513B" w:rsidRPr="0078494C" w:rsidRDefault="00B7513B" w:rsidP="00B7513B">
      <w:pPr>
        <w:shd w:val="clear" w:color="auto" w:fill="FFFFFF"/>
        <w:spacing w:before="100" w:beforeAutospacing="1"/>
        <w:ind w:firstLine="709"/>
        <w:contextualSpacing/>
        <w:jc w:val="both"/>
        <w:rPr>
          <w:rFonts w:ascii="Times New Roman" w:hAnsi="Times New Roman" w:cs="Times New Roman"/>
        </w:rPr>
      </w:pPr>
      <w:r w:rsidRPr="0078494C">
        <w:rPr>
          <w:rFonts w:ascii="Times New Roman" w:hAnsi="Times New Roman" w:cs="Times New Roman"/>
          <w:b/>
          <w:bCs/>
        </w:rPr>
        <w:t>Топливо</w:t>
      </w:r>
      <w:r w:rsidRPr="0078494C">
        <w:rPr>
          <w:rFonts w:ascii="Times New Roman" w:hAnsi="Times New Roman" w:cs="Times New Roman"/>
        </w:rPr>
        <w:t>: Автомобильное топливо соответствует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78494C">
        <w:rPr>
          <w:rFonts w:ascii="Times New Roman" w:hAnsi="Times New Roman" w:cs="Times New Roman"/>
        </w:rPr>
        <w:t>ТР</w:t>
      </w:r>
      <w:proofErr w:type="gramEnd"/>
      <w:r w:rsidRPr="0078494C">
        <w:rPr>
          <w:rFonts w:ascii="Times New Roman" w:hAnsi="Times New Roman" w:cs="Times New Roman"/>
        </w:rPr>
        <w:t xml:space="preserve"> ТС 013/2011)», принятому Решением Комиссии Таможенного союза от 18.10.2011 № 826 (ред. от 19.12.2019) подтверждается наличием декларации (сертификата) соответствия, паспортом качества предприятия-поставщика либо протоколом испытаний независимой аккредитованной лаборатории.</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а именно:</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Бензин неэтилированный марки АИ-95 по ГОСТ 32513-2013 «Межгосударственный стандарт. Топлива моторные. Бензин неэтилированный. Технические условия» (</w:t>
      </w:r>
      <w:proofErr w:type="gramStart"/>
      <w:r w:rsidRPr="0078494C">
        <w:rPr>
          <w:rFonts w:ascii="Times New Roman" w:hAnsi="Times New Roman" w:cs="Times New Roman"/>
        </w:rPr>
        <w:t>введен</w:t>
      </w:r>
      <w:proofErr w:type="gramEnd"/>
      <w:r w:rsidRPr="0078494C">
        <w:rPr>
          <w:rFonts w:ascii="Times New Roman" w:hAnsi="Times New Roman" w:cs="Times New Roman"/>
        </w:rPr>
        <w:t xml:space="preserve"> в действие Приказом </w:t>
      </w:r>
      <w:proofErr w:type="spellStart"/>
      <w:r w:rsidRPr="0078494C">
        <w:rPr>
          <w:rFonts w:ascii="Times New Roman" w:hAnsi="Times New Roman" w:cs="Times New Roman"/>
        </w:rPr>
        <w:t>Росстандарта</w:t>
      </w:r>
      <w:proofErr w:type="spellEnd"/>
      <w:r w:rsidRPr="0078494C">
        <w:rPr>
          <w:rFonts w:ascii="Times New Roman" w:hAnsi="Times New Roman" w:cs="Times New Roman"/>
        </w:rPr>
        <w:t xml:space="preserve"> от 22.11.2013 N 1864-ст); </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ГОСТ </w:t>
      </w:r>
      <w:proofErr w:type="gramStart"/>
      <w:r w:rsidRPr="0078494C">
        <w:rPr>
          <w:rFonts w:ascii="Times New Roman" w:hAnsi="Times New Roman" w:cs="Times New Roman"/>
        </w:rPr>
        <w:t>Р</w:t>
      </w:r>
      <w:proofErr w:type="gramEnd"/>
      <w:r w:rsidRPr="0078494C">
        <w:rPr>
          <w:rFonts w:ascii="Times New Roman" w:hAnsi="Times New Roman" w:cs="Times New Roman"/>
        </w:rPr>
        <w:t xml:space="preserve"> 51866-2002 (ЕН 228-2004). Государственный стандарт Российской Федерации. Топлива моторные. Бензин неэтилированный. Технические условия" (</w:t>
      </w:r>
      <w:proofErr w:type="gramStart"/>
      <w:r w:rsidRPr="0078494C">
        <w:rPr>
          <w:rFonts w:ascii="Times New Roman" w:hAnsi="Times New Roman" w:cs="Times New Roman"/>
        </w:rPr>
        <w:t>принят</w:t>
      </w:r>
      <w:proofErr w:type="gramEnd"/>
      <w:r w:rsidRPr="0078494C">
        <w:rPr>
          <w:rFonts w:ascii="Times New Roman" w:hAnsi="Times New Roman" w:cs="Times New Roman"/>
        </w:rPr>
        <w:t xml:space="preserve"> и введен в действие Постановлением Госстандарта России от 31.01.2002 N 42-ст) (ред. от 16.09.2011); </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bCs/>
        </w:rPr>
        <w:t>Автомобильное топливо соответствует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78494C">
        <w:rPr>
          <w:rFonts w:ascii="Times New Roman" w:hAnsi="Times New Roman" w:cs="Times New Roman"/>
          <w:bCs/>
        </w:rPr>
        <w:t>ТР</w:t>
      </w:r>
      <w:proofErr w:type="gramEnd"/>
      <w:r w:rsidRPr="0078494C">
        <w:rPr>
          <w:rFonts w:ascii="Times New Roman" w:hAnsi="Times New Roman" w:cs="Times New Roman"/>
          <w:bCs/>
        </w:rPr>
        <w:t xml:space="preserve"> ТС 013/2011)», принятому Решением Комиссии Таможенного союза от 18.10.2011 № 826 (ред. от 28.04.2015 подтверждается наличием декларации (сертификата) соответствия, паспортом качества предприятия-поставщика либо протоколом испытаний независимой аккредитованной лаборатории.</w:t>
      </w:r>
    </w:p>
    <w:tbl>
      <w:tblPr>
        <w:tblW w:w="0" w:type="auto"/>
        <w:shd w:val="clear" w:color="auto" w:fill="FFFFFF"/>
        <w:tblCellMar>
          <w:left w:w="0" w:type="dxa"/>
          <w:right w:w="0" w:type="dxa"/>
        </w:tblCellMar>
        <w:tblLook w:val="04A0" w:firstRow="1" w:lastRow="0" w:firstColumn="1" w:lastColumn="0" w:noHBand="0" w:noVBand="1"/>
      </w:tblPr>
      <w:tblGrid>
        <w:gridCol w:w="4873"/>
        <w:gridCol w:w="4698"/>
      </w:tblGrid>
      <w:tr w:rsidR="00B7513B" w:rsidRPr="0078494C" w:rsidTr="00674CFB">
        <w:tc>
          <w:tcPr>
            <w:tcW w:w="48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b/>
                <w:bCs/>
              </w:rPr>
              <w:t>Наименование показателя</w:t>
            </w:r>
          </w:p>
        </w:tc>
        <w:tc>
          <w:tcPr>
            <w:tcW w:w="46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b/>
                <w:bCs/>
              </w:rPr>
              <w:t>Требуемое значение для марки бензина</w:t>
            </w:r>
          </w:p>
        </w:tc>
      </w:tr>
      <w:tr w:rsidR="00B7513B" w:rsidRPr="0078494C" w:rsidTr="00674CFB">
        <w:tc>
          <w:tcPr>
            <w:tcW w:w="95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b/>
                <w:bCs/>
              </w:rPr>
              <w:t>Бензин, октановое число, не менее 95</w:t>
            </w:r>
          </w:p>
        </w:tc>
      </w:tr>
      <w:tr w:rsidR="00B7513B" w:rsidRPr="0078494C" w:rsidTr="00674CFB">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both"/>
              <w:rPr>
                <w:rFonts w:ascii="Times New Roman" w:hAnsi="Times New Roman" w:cs="Times New Roman"/>
              </w:rPr>
            </w:pPr>
            <w:r w:rsidRPr="0078494C">
              <w:rPr>
                <w:rFonts w:ascii="Times New Roman" w:hAnsi="Times New Roman" w:cs="Times New Roman"/>
              </w:rPr>
              <w:t>по моторному методу не менее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85,0</w:t>
            </w:r>
          </w:p>
        </w:tc>
      </w:tr>
      <w:tr w:rsidR="00B7513B" w:rsidRPr="0078494C" w:rsidTr="00674CFB">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both"/>
              <w:rPr>
                <w:rFonts w:ascii="Times New Roman" w:hAnsi="Times New Roman" w:cs="Times New Roman"/>
              </w:rPr>
            </w:pPr>
            <w:r w:rsidRPr="0078494C">
              <w:rPr>
                <w:rFonts w:ascii="Times New Roman" w:hAnsi="Times New Roman" w:cs="Times New Roman"/>
              </w:rPr>
              <w:t>по исследовательскому методу не менее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95,0</w:t>
            </w:r>
          </w:p>
        </w:tc>
      </w:tr>
      <w:tr w:rsidR="00B7513B" w:rsidRPr="0078494C" w:rsidTr="00674CFB">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both"/>
              <w:rPr>
                <w:rFonts w:ascii="Times New Roman" w:hAnsi="Times New Roman" w:cs="Times New Roman"/>
              </w:rPr>
            </w:pPr>
            <w:r w:rsidRPr="0078494C">
              <w:rPr>
                <w:rFonts w:ascii="Times New Roman" w:hAnsi="Times New Roman" w:cs="Times New Roman"/>
              </w:rPr>
              <w:lastRenderedPageBreak/>
              <w:t xml:space="preserve">Концентрация свинца, </w:t>
            </w:r>
            <w:proofErr w:type="gramStart"/>
            <w:r w:rsidRPr="0078494C">
              <w:rPr>
                <w:rFonts w:ascii="Times New Roman" w:hAnsi="Times New Roman" w:cs="Times New Roman"/>
              </w:rPr>
              <w:t>г</w:t>
            </w:r>
            <w:proofErr w:type="gramEnd"/>
            <w:r w:rsidRPr="0078494C">
              <w:rPr>
                <w:rFonts w:ascii="Times New Roman" w:hAnsi="Times New Roman" w:cs="Times New Roman"/>
              </w:rPr>
              <w:t>/дм</w:t>
            </w:r>
            <w:r w:rsidRPr="0078494C">
              <w:rPr>
                <w:rFonts w:ascii="Times New Roman" w:hAnsi="Times New Roman" w:cs="Times New Roman"/>
                <w:vertAlign w:val="superscript"/>
              </w:rPr>
              <w:t>3</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Отсутствие</w:t>
            </w:r>
          </w:p>
        </w:tc>
      </w:tr>
      <w:tr w:rsidR="00B7513B" w:rsidRPr="0078494C" w:rsidTr="00674CFB">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both"/>
              <w:rPr>
                <w:rFonts w:ascii="Times New Roman" w:hAnsi="Times New Roman" w:cs="Times New Roman"/>
              </w:rPr>
            </w:pPr>
            <w:r w:rsidRPr="0078494C">
              <w:rPr>
                <w:rFonts w:ascii="Times New Roman" w:hAnsi="Times New Roman" w:cs="Times New Roman"/>
              </w:rPr>
              <w:t>Концентрация фактических смол, мг на 100см</w:t>
            </w:r>
            <w:r w:rsidRPr="0078494C">
              <w:rPr>
                <w:rFonts w:ascii="Times New Roman" w:hAnsi="Times New Roman" w:cs="Times New Roman"/>
                <w:vertAlign w:val="superscript"/>
              </w:rPr>
              <w:t>3  </w:t>
            </w:r>
            <w:r w:rsidRPr="0078494C">
              <w:rPr>
                <w:rFonts w:ascii="Times New Roman" w:hAnsi="Times New Roman" w:cs="Times New Roman"/>
              </w:rPr>
              <w:t>бензина, не более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5,0</w:t>
            </w:r>
          </w:p>
        </w:tc>
      </w:tr>
      <w:tr w:rsidR="00B7513B" w:rsidRPr="0078494C" w:rsidTr="00674CFB">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both"/>
              <w:rPr>
                <w:rFonts w:ascii="Times New Roman" w:hAnsi="Times New Roman" w:cs="Times New Roman"/>
              </w:rPr>
            </w:pPr>
            <w:r w:rsidRPr="0078494C">
              <w:rPr>
                <w:rFonts w:ascii="Times New Roman" w:hAnsi="Times New Roman" w:cs="Times New Roman"/>
              </w:rPr>
              <w:t>Массовая доля серы, мг/кг, не более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150,0</w:t>
            </w:r>
          </w:p>
        </w:tc>
      </w:tr>
      <w:tr w:rsidR="00B7513B" w:rsidRPr="0078494C" w:rsidTr="00674CFB">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both"/>
              <w:rPr>
                <w:rFonts w:ascii="Times New Roman" w:hAnsi="Times New Roman" w:cs="Times New Roman"/>
              </w:rPr>
            </w:pPr>
            <w:r w:rsidRPr="0078494C">
              <w:rPr>
                <w:rFonts w:ascii="Times New Roman" w:hAnsi="Times New Roman" w:cs="Times New Roman"/>
              </w:rPr>
              <w:t>Объемная доля бензола, %, не более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1,0</w:t>
            </w:r>
          </w:p>
        </w:tc>
      </w:tr>
      <w:tr w:rsidR="00B7513B" w:rsidRPr="0078494C" w:rsidTr="00674CFB">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both"/>
              <w:rPr>
                <w:rFonts w:ascii="Times New Roman" w:hAnsi="Times New Roman" w:cs="Times New Roman"/>
              </w:rPr>
            </w:pPr>
            <w:r w:rsidRPr="0078494C">
              <w:rPr>
                <w:rFonts w:ascii="Times New Roman" w:hAnsi="Times New Roman" w:cs="Times New Roman"/>
              </w:rPr>
              <w:t>Концентрация железа, мг/дм</w:t>
            </w:r>
            <w:r w:rsidRPr="0078494C">
              <w:rPr>
                <w:rFonts w:ascii="Times New Roman" w:hAnsi="Times New Roman" w:cs="Times New Roman"/>
                <w:vertAlign w:val="superscript"/>
              </w:rPr>
              <w:t>3</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Отсутствие</w:t>
            </w:r>
          </w:p>
        </w:tc>
      </w:tr>
      <w:tr w:rsidR="00B7513B" w:rsidRPr="0078494C" w:rsidTr="00674CFB">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contextualSpacing/>
              <w:jc w:val="both"/>
              <w:rPr>
                <w:rFonts w:ascii="Times New Roman" w:hAnsi="Times New Roman" w:cs="Times New Roman"/>
              </w:rPr>
            </w:pPr>
            <w:r w:rsidRPr="0078494C">
              <w:rPr>
                <w:rFonts w:ascii="Times New Roman" w:hAnsi="Times New Roman" w:cs="Times New Roman"/>
              </w:rPr>
              <w:t>Концентрация марганца, мг/дм</w:t>
            </w:r>
            <w:r w:rsidRPr="0078494C">
              <w:rPr>
                <w:rFonts w:ascii="Times New Roman" w:hAnsi="Times New Roman" w:cs="Times New Roman"/>
                <w:vertAlign w:val="superscript"/>
              </w:rPr>
              <w:t>3</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7513B" w:rsidRPr="0078494C" w:rsidRDefault="00B7513B" w:rsidP="00674CFB">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Отсутствие</w:t>
            </w:r>
          </w:p>
        </w:tc>
      </w:tr>
    </w:tbl>
    <w:p w:rsidR="00B7513B" w:rsidRPr="0078494C" w:rsidRDefault="00B7513B" w:rsidP="00B7513B">
      <w:pPr>
        <w:shd w:val="clear" w:color="auto" w:fill="FFFFFF"/>
        <w:spacing w:before="100" w:beforeAutospacing="1"/>
        <w:ind w:firstLine="708"/>
        <w:contextualSpacing/>
        <w:jc w:val="both"/>
        <w:rPr>
          <w:rFonts w:ascii="Times New Roman" w:hAnsi="Times New Roman" w:cs="Times New Roman"/>
        </w:rPr>
      </w:pPr>
      <w:r w:rsidRPr="0078494C">
        <w:rPr>
          <w:rFonts w:ascii="Times New Roman" w:hAnsi="Times New Roman" w:cs="Times New Roman"/>
        </w:rPr>
        <w:t>Передаваемые в пользование Заказчика топливные смарт-карты, талоны литрового номинала должны соответствовать требованиям законодательства, нормативных правовых документов РФ (Закон об электронной подписи № 63-ФЗ, СТР-К, СТО БР ИББС-1.0-2010) и могут использоваться в качестве персонального средства электронной подписи, а также как СКЗИ класса КС</w:t>
      </w:r>
      <w:proofErr w:type="gramStart"/>
      <w:r w:rsidRPr="0078494C">
        <w:rPr>
          <w:rFonts w:ascii="Times New Roman" w:hAnsi="Times New Roman" w:cs="Times New Roman"/>
        </w:rPr>
        <w:t>2</w:t>
      </w:r>
      <w:proofErr w:type="gramEnd"/>
      <w:r w:rsidRPr="0078494C">
        <w:rPr>
          <w:rFonts w:ascii="Times New Roman" w:hAnsi="Times New Roman" w:cs="Times New Roman"/>
        </w:rPr>
        <w:t xml:space="preserve">, в том числе для обеспечения целостности защищаемой информации (сертификат соответствия ФСБ России № СФ/124-1671 от 11 мая 2011 </w:t>
      </w:r>
      <w:proofErr w:type="gramStart"/>
      <w:r w:rsidRPr="0078494C">
        <w:rPr>
          <w:rFonts w:ascii="Times New Roman" w:hAnsi="Times New Roman" w:cs="Times New Roman"/>
        </w:rPr>
        <w:t>г</w:t>
      </w:r>
      <w:proofErr w:type="gramEnd"/>
      <w:r w:rsidRPr="0078494C">
        <w:rPr>
          <w:rFonts w:ascii="Times New Roman" w:hAnsi="Times New Roman" w:cs="Times New Roman"/>
        </w:rPr>
        <w:t>.).</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Pr>
          <w:rFonts w:ascii="Times New Roman" w:hAnsi="Times New Roman" w:cs="Times New Roman"/>
        </w:rPr>
        <w:t xml:space="preserve">Передача топливных Карт и </w:t>
      </w:r>
      <w:r w:rsidRPr="0078494C">
        <w:rPr>
          <w:rFonts w:ascii="Times New Roman" w:hAnsi="Times New Roman" w:cs="Times New Roman"/>
        </w:rPr>
        <w:t>талонов литрового номинала Заказчику осуществляется Поставщиком в течение 1 (одного) рабочего дня с момента поступления заявки от Заказчика по адресу Заказчика.</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предоставляет Заказчику перечень мест (АЗС) поставки товара (заправки топливом автотранспорта).</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Информация об изменении перечня АЗС (Торговых точек), либо режима их работы (при наличии таких изменений) осуществляется немедленно и представляется Заказчику в письменной форме.</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Необходимое количество топливных карт и талонов определяется Заказчиком на основании фактической потребности. Факт передачи Карт и талонов оформляется соответствующим Актом приема–передачи. В случае утери, поломки топливной карты или талонов Заказчиком, Поставщик обязан в течение часа с момента уведомления его Заказчиком любыми средствами связи заблокировать указанную Карту или талон. Стоимость карты или талона литрового номинала Заказчиком не возмещается. Поставщик по требованию Заказчика выдает новую Карту или талон литрового номинала. Поставщик обязан согласовать с Заказчиком точное время и дату поставки Карт и талонов литрового номинала, телефонограммой или по факсимильной связи. Заказчик определяет уполномоченных представителей Заказчика, являющихся фактическими Держателями карт и талонов литрового номинала.</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Устранение возможных производственных дефектов и замена Карт производится за счет Поставщика в течение срока, </w:t>
      </w:r>
      <w:r w:rsidRPr="0078494C">
        <w:rPr>
          <w:rFonts w:ascii="Times New Roman" w:hAnsi="Times New Roman" w:cs="Times New Roman"/>
          <w:b/>
        </w:rPr>
        <w:t>не превышающего 1 (один) рабочий дней</w:t>
      </w:r>
      <w:r w:rsidRPr="0078494C">
        <w:rPr>
          <w:rFonts w:ascii="Times New Roman" w:hAnsi="Times New Roman" w:cs="Times New Roman"/>
        </w:rPr>
        <w:t xml:space="preserve"> после получения Заявки на выдачу новой Карты, Акта и дефектных Карт.</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Получение Заказчиком Товара в Торговой точке подтверждается терминальным чеком. Терминальный чек выдается Заказчику при получении Товара в Торговой точке, второй экземпляр чека остается в Торговой точке.</w:t>
      </w:r>
    </w:p>
    <w:p w:rsidR="00B7513B" w:rsidRPr="0078494C" w:rsidRDefault="00B7513B" w:rsidP="00B7513B">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При получении Товара в Торговой точке Заказчик проверяет его на соответствие сведениям, указанным в чеке учетного терминала и другим документам, по наименованию, виду, количеству, и качеству.</w:t>
      </w:r>
    </w:p>
    <w:p w:rsidR="00B7513B" w:rsidRPr="0078494C" w:rsidRDefault="00B7513B" w:rsidP="00B7513B">
      <w:pPr>
        <w:ind w:firstLine="709"/>
        <w:contextualSpacing/>
        <w:jc w:val="both"/>
        <w:rPr>
          <w:rFonts w:ascii="Times New Roman" w:hAnsi="Times New Roman" w:cs="Times New Roman"/>
        </w:rPr>
      </w:pPr>
      <w:r w:rsidRPr="0078494C">
        <w:rPr>
          <w:rFonts w:ascii="Times New Roman" w:hAnsi="Times New Roman" w:cs="Times New Roman"/>
        </w:rPr>
        <w:t xml:space="preserve"> По окончании отчетного периода (каждого месяца до 5 числа) Поставщик обязан передать Заказчику оригиналы товарных накладных и счетов-фактур, сертификаты, обязательные для данного вида топлива, и иные документы, подтверждающие качество топлива, оформленные в соответствии с законодательством Российской Федерации. </w:t>
      </w:r>
    </w:p>
    <w:p w:rsidR="00B7513B" w:rsidRPr="0078494C" w:rsidRDefault="00B7513B" w:rsidP="00B7513B">
      <w:pPr>
        <w:ind w:firstLine="709"/>
        <w:contextualSpacing/>
        <w:jc w:val="both"/>
        <w:rPr>
          <w:rFonts w:ascii="Times New Roman" w:hAnsi="Times New Roman" w:cs="Times New Roman"/>
        </w:rPr>
      </w:pPr>
      <w:r w:rsidRPr="0078494C">
        <w:rPr>
          <w:rFonts w:ascii="Times New Roman" w:hAnsi="Times New Roman" w:cs="Times New Roman"/>
        </w:rPr>
        <w:t>Количество автозаправочных станций, заправляющих автомобили по предлагаемым Исполнителем пластиковым картам или электронным талонам, должно быть:</w:t>
      </w:r>
    </w:p>
    <w:p w:rsidR="00B7513B" w:rsidRPr="0078494C" w:rsidRDefault="00B7513B" w:rsidP="00B7513B">
      <w:pPr>
        <w:ind w:firstLine="709"/>
        <w:contextualSpacing/>
        <w:jc w:val="both"/>
        <w:rPr>
          <w:rFonts w:ascii="Times New Roman" w:hAnsi="Times New Roman" w:cs="Times New Roman"/>
        </w:rPr>
      </w:pPr>
      <w:r w:rsidRPr="0078494C">
        <w:rPr>
          <w:rFonts w:ascii="Times New Roman" w:hAnsi="Times New Roman" w:cs="Times New Roman"/>
        </w:rPr>
        <w:lastRenderedPageBreak/>
        <w:t>-</w:t>
      </w:r>
      <w:r w:rsidRPr="0078494C">
        <w:rPr>
          <w:rFonts w:ascii="Times New Roman" w:hAnsi="Times New Roman" w:cs="Times New Roman"/>
        </w:rPr>
        <w:tab/>
        <w:t>в ЦАО г. Москвы не менее 2 штук;</w:t>
      </w:r>
    </w:p>
    <w:p w:rsidR="00B7513B" w:rsidRPr="0078494C" w:rsidRDefault="00B7513B" w:rsidP="00B7513B">
      <w:pPr>
        <w:ind w:firstLine="709"/>
        <w:contextualSpacing/>
        <w:jc w:val="both"/>
        <w:rPr>
          <w:rFonts w:ascii="Times New Roman" w:hAnsi="Times New Roman" w:cs="Times New Roman"/>
        </w:rPr>
      </w:pPr>
      <w:r w:rsidRPr="0078494C">
        <w:rPr>
          <w:rFonts w:ascii="Times New Roman" w:hAnsi="Times New Roman" w:cs="Times New Roman"/>
        </w:rPr>
        <w:t>-</w:t>
      </w:r>
      <w:r w:rsidRPr="0078494C">
        <w:rPr>
          <w:rFonts w:ascii="Times New Roman" w:hAnsi="Times New Roman" w:cs="Times New Roman"/>
        </w:rPr>
        <w:tab/>
        <w:t>в остальных АО г. Москвы не менее</w:t>
      </w:r>
      <w:proofErr w:type="gramStart"/>
      <w:r w:rsidRPr="0078494C">
        <w:rPr>
          <w:rFonts w:ascii="Times New Roman" w:hAnsi="Times New Roman" w:cs="Times New Roman"/>
        </w:rPr>
        <w:t>,</w:t>
      </w:r>
      <w:proofErr w:type="gramEnd"/>
      <w:r w:rsidRPr="0078494C">
        <w:rPr>
          <w:rFonts w:ascii="Times New Roman" w:hAnsi="Times New Roman" w:cs="Times New Roman"/>
        </w:rPr>
        <w:t xml:space="preserve"> чем по 3 штуки;</w:t>
      </w:r>
    </w:p>
    <w:p w:rsidR="00B7513B" w:rsidRPr="0078494C" w:rsidRDefault="00B7513B" w:rsidP="00B7513B">
      <w:pPr>
        <w:ind w:firstLine="709"/>
        <w:contextualSpacing/>
        <w:jc w:val="both"/>
        <w:rPr>
          <w:rFonts w:ascii="Times New Roman" w:hAnsi="Times New Roman" w:cs="Times New Roman"/>
        </w:rPr>
      </w:pPr>
      <w:r w:rsidRPr="0078494C">
        <w:rPr>
          <w:rFonts w:ascii="Times New Roman" w:hAnsi="Times New Roman" w:cs="Times New Roman"/>
        </w:rPr>
        <w:t>-</w:t>
      </w:r>
      <w:r w:rsidRPr="0078494C">
        <w:rPr>
          <w:rFonts w:ascii="Times New Roman" w:hAnsi="Times New Roman" w:cs="Times New Roman"/>
        </w:rPr>
        <w:tab/>
        <w:t>не менее 2 АЗС на территории филиалов ГУ-МОРО ФСС РФ по Московской области (</w:t>
      </w:r>
      <w:proofErr w:type="gramStart"/>
      <w:r w:rsidRPr="0078494C">
        <w:rPr>
          <w:rFonts w:ascii="Times New Roman" w:hAnsi="Times New Roman" w:cs="Times New Roman"/>
        </w:rPr>
        <w:t>согласно таблицы</w:t>
      </w:r>
      <w:proofErr w:type="gramEnd"/>
      <w:r w:rsidRPr="0078494C">
        <w:rPr>
          <w:rFonts w:ascii="Times New Roman" w:hAnsi="Times New Roman" w:cs="Times New Roman"/>
        </w:rPr>
        <w:t xml:space="preserve"> № 1)</w:t>
      </w:r>
    </w:p>
    <w:p w:rsidR="00B7513B" w:rsidRPr="0078494C" w:rsidRDefault="00B7513B" w:rsidP="00B7513B">
      <w:pPr>
        <w:pStyle w:val="Style9"/>
        <w:widowControl/>
        <w:tabs>
          <w:tab w:val="left" w:pos="540"/>
        </w:tabs>
        <w:spacing w:line="274" w:lineRule="exact"/>
        <w:ind w:right="95"/>
        <w:jc w:val="right"/>
        <w:rPr>
          <w:rStyle w:val="FontStyle18"/>
          <w:b/>
          <w:sz w:val="24"/>
          <w:szCs w:val="24"/>
        </w:rPr>
      </w:pPr>
      <w:r w:rsidRPr="0078494C">
        <w:rPr>
          <w:rStyle w:val="FontStyle18"/>
          <w:b/>
          <w:sz w:val="24"/>
          <w:szCs w:val="24"/>
        </w:rPr>
        <w:t>Таблица №1</w:t>
      </w:r>
    </w:p>
    <w:tbl>
      <w:tblPr>
        <w:tblW w:w="10481" w:type="dxa"/>
        <w:tblInd w:w="-733" w:type="dxa"/>
        <w:tblLayout w:type="fixed"/>
        <w:tblCellMar>
          <w:left w:w="40" w:type="dxa"/>
          <w:right w:w="40" w:type="dxa"/>
        </w:tblCellMar>
        <w:tblLook w:val="0000" w:firstRow="0" w:lastRow="0" w:firstColumn="0" w:lastColumn="0" w:noHBand="0" w:noVBand="0"/>
      </w:tblPr>
      <w:tblGrid>
        <w:gridCol w:w="1043"/>
        <w:gridCol w:w="2784"/>
        <w:gridCol w:w="6654"/>
      </w:tblGrid>
      <w:tr w:rsidR="00B7513B" w:rsidRPr="0078494C" w:rsidTr="00674CFB">
        <w:trPr>
          <w:trHeight w:val="495"/>
        </w:trPr>
        <w:tc>
          <w:tcPr>
            <w:tcW w:w="1043"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spacing w:line="281" w:lineRule="exact"/>
              <w:ind w:right="43" w:firstLine="43"/>
              <w:jc w:val="center"/>
              <w:rPr>
                <w:rFonts w:ascii="Times New Roman" w:hAnsi="Times New Roman" w:cs="Times New Roman"/>
                <w:b/>
                <w:bCs/>
              </w:rPr>
            </w:pPr>
            <w:r w:rsidRPr="0078494C">
              <w:rPr>
                <w:rFonts w:ascii="Times New Roman" w:hAnsi="Times New Roman" w:cs="Times New Roman"/>
                <w:b/>
                <w:bCs/>
              </w:rPr>
              <w:t xml:space="preserve">№ </w:t>
            </w:r>
            <w:proofErr w:type="gramStart"/>
            <w:r w:rsidRPr="0078494C">
              <w:rPr>
                <w:rFonts w:ascii="Times New Roman" w:hAnsi="Times New Roman" w:cs="Times New Roman"/>
                <w:b/>
                <w:bCs/>
              </w:rPr>
              <w:t>п</w:t>
            </w:r>
            <w:proofErr w:type="gramEnd"/>
            <w:r w:rsidRPr="0078494C">
              <w:rPr>
                <w:rFonts w:ascii="Times New Roman" w:hAnsi="Times New Roman" w:cs="Times New Roman"/>
                <w:b/>
                <w:bCs/>
              </w:rPr>
              <w:t>/п</w:t>
            </w:r>
          </w:p>
        </w:tc>
        <w:tc>
          <w:tcPr>
            <w:tcW w:w="2784"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ind w:right="-40" w:firstLine="43"/>
              <w:jc w:val="center"/>
              <w:rPr>
                <w:rFonts w:ascii="Times New Roman" w:hAnsi="Times New Roman" w:cs="Times New Roman"/>
                <w:b/>
                <w:bCs/>
              </w:rPr>
            </w:pPr>
            <w:r w:rsidRPr="0078494C">
              <w:rPr>
                <w:rFonts w:ascii="Times New Roman" w:hAnsi="Times New Roman" w:cs="Times New Roman"/>
                <w:b/>
                <w:bCs/>
              </w:rPr>
              <w:t>№ Филиала ГУ МОРО ФСС РФ</w:t>
            </w:r>
          </w:p>
        </w:tc>
        <w:tc>
          <w:tcPr>
            <w:tcW w:w="6654"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ind w:firstLine="43"/>
              <w:jc w:val="center"/>
              <w:rPr>
                <w:rFonts w:ascii="Times New Roman" w:hAnsi="Times New Roman" w:cs="Times New Roman"/>
                <w:b/>
                <w:bCs/>
              </w:rPr>
            </w:pPr>
            <w:r w:rsidRPr="0078494C">
              <w:rPr>
                <w:rFonts w:ascii="Times New Roman" w:hAnsi="Times New Roman" w:cs="Times New Roman"/>
                <w:b/>
                <w:bCs/>
              </w:rPr>
              <w:t>Адрес филиала</w:t>
            </w:r>
          </w:p>
          <w:p w:rsidR="00B7513B" w:rsidRPr="0078494C" w:rsidRDefault="00B7513B" w:rsidP="00674CFB">
            <w:pPr>
              <w:autoSpaceDE w:val="0"/>
              <w:autoSpaceDN w:val="0"/>
              <w:adjustRightInd w:val="0"/>
              <w:ind w:firstLine="43"/>
              <w:jc w:val="center"/>
              <w:rPr>
                <w:rFonts w:ascii="Times New Roman" w:hAnsi="Times New Roman" w:cs="Times New Roman"/>
                <w:b/>
                <w:bCs/>
              </w:rPr>
            </w:pPr>
            <w:r w:rsidRPr="0078494C">
              <w:rPr>
                <w:rFonts w:ascii="Times New Roman" w:hAnsi="Times New Roman" w:cs="Times New Roman"/>
                <w:b/>
                <w:bCs/>
              </w:rPr>
              <w:t xml:space="preserve"> ГУ МОРО ФСС РФ</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3</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Наро-Фоминск</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4</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Егорьевск, г. Шатура</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3</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7</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Чехов</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4</w:t>
            </w:r>
          </w:p>
        </w:tc>
        <w:tc>
          <w:tcPr>
            <w:tcW w:w="2784"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9</w:t>
            </w:r>
          </w:p>
        </w:tc>
        <w:tc>
          <w:tcPr>
            <w:tcW w:w="6654"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Балашиха, г. Реутов</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5</w:t>
            </w:r>
          </w:p>
        </w:tc>
        <w:tc>
          <w:tcPr>
            <w:tcW w:w="2784"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10</w:t>
            </w:r>
          </w:p>
        </w:tc>
        <w:tc>
          <w:tcPr>
            <w:tcW w:w="6654"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г. Королев </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6</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11</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Мытищи, г. Пушкино</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7</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14</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Люберцы</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8</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17</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 xml:space="preserve">г. </w:t>
            </w:r>
            <w:proofErr w:type="spellStart"/>
            <w:r w:rsidRPr="0078494C">
              <w:rPr>
                <w:rStyle w:val="FontStyle18"/>
                <w:sz w:val="24"/>
                <w:szCs w:val="24"/>
              </w:rPr>
              <w:t>Луховицы</w:t>
            </w:r>
            <w:proofErr w:type="spellEnd"/>
            <w:r w:rsidRPr="0078494C">
              <w:rPr>
                <w:rStyle w:val="FontStyle18"/>
                <w:sz w:val="24"/>
                <w:szCs w:val="24"/>
              </w:rPr>
              <w:t xml:space="preserve">, </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9</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18</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Подольск</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10</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19</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Электросталь</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11</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22</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Серпухов, г. Пущино</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12</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23</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Истра, г. Красногорск</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13</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25</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Коломна, г. Озеры</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14</w:t>
            </w:r>
          </w:p>
        </w:tc>
        <w:tc>
          <w:tcPr>
            <w:tcW w:w="2784"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26</w:t>
            </w:r>
          </w:p>
        </w:tc>
        <w:tc>
          <w:tcPr>
            <w:tcW w:w="6654" w:type="dxa"/>
            <w:tcBorders>
              <w:top w:val="single" w:sz="6" w:space="0" w:color="auto"/>
              <w:left w:val="single" w:sz="6" w:space="0" w:color="auto"/>
              <w:bottom w:val="single" w:sz="6" w:space="0" w:color="auto"/>
              <w:right w:val="single" w:sz="6" w:space="0" w:color="auto"/>
            </w:tcBorders>
            <w:vAlign w:val="center"/>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Долгопрудный, г. Лобня, г. Дмитров</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15</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27</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Воскресенск</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16</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30</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Дубна, г. Талдом</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17</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31</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Ногинск</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18</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32</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Одинцово, г. Можайск, г. Руза</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19</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34</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Сергиев-Посад</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20</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35</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Павловски</w:t>
            </w:r>
            <w:proofErr w:type="gramStart"/>
            <w:r w:rsidRPr="0078494C">
              <w:rPr>
                <w:rStyle w:val="FontStyle18"/>
                <w:sz w:val="24"/>
                <w:szCs w:val="24"/>
              </w:rPr>
              <w:t>й-</w:t>
            </w:r>
            <w:proofErr w:type="gramEnd"/>
            <w:r w:rsidRPr="0078494C">
              <w:rPr>
                <w:rStyle w:val="FontStyle18"/>
                <w:sz w:val="24"/>
                <w:szCs w:val="24"/>
              </w:rPr>
              <w:t xml:space="preserve"> Посад</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21</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37</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Клин</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22</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38</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Жуковский, г. Лыткарино</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23</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39</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Ступино, г. Кашира</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24</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40</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Щелково</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25</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42</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Московская область, г. Видное, г. Домодедово</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26</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43</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Химки</w:t>
            </w:r>
          </w:p>
        </w:tc>
      </w:tr>
      <w:tr w:rsidR="00B7513B" w:rsidRPr="0078494C" w:rsidTr="00674CFB">
        <w:trPr>
          <w:trHeight w:val="254"/>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27</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44</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Орехово-Зуево</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28</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45</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Style w:val="FontStyle18"/>
                <w:sz w:val="24"/>
                <w:szCs w:val="24"/>
              </w:rPr>
              <w:t>г. Москва</w:t>
            </w:r>
          </w:p>
        </w:tc>
      </w:tr>
      <w:tr w:rsidR="00B7513B" w:rsidRPr="0078494C" w:rsidTr="00674CFB">
        <w:trPr>
          <w:trHeight w:val="241"/>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29</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46</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Солнечногорск</w:t>
            </w:r>
          </w:p>
        </w:tc>
      </w:tr>
      <w:tr w:rsidR="00B7513B" w:rsidRPr="0078494C" w:rsidTr="00674CFB">
        <w:trPr>
          <w:trHeight w:val="59"/>
        </w:trPr>
        <w:tc>
          <w:tcPr>
            <w:tcW w:w="1043"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b/>
                <w:sz w:val="24"/>
                <w:szCs w:val="24"/>
              </w:rPr>
            </w:pPr>
            <w:r w:rsidRPr="0078494C">
              <w:rPr>
                <w:rStyle w:val="FontStyle18"/>
                <w:b/>
                <w:sz w:val="24"/>
                <w:szCs w:val="24"/>
              </w:rPr>
              <w:t>30</w:t>
            </w:r>
          </w:p>
        </w:tc>
        <w:tc>
          <w:tcPr>
            <w:tcW w:w="278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jc w:val="center"/>
              <w:rPr>
                <w:rStyle w:val="FontStyle18"/>
                <w:sz w:val="24"/>
                <w:szCs w:val="24"/>
              </w:rPr>
            </w:pPr>
            <w:r w:rsidRPr="0078494C">
              <w:rPr>
                <w:rStyle w:val="FontStyle18"/>
                <w:sz w:val="24"/>
                <w:szCs w:val="24"/>
              </w:rPr>
              <w:t>47</w:t>
            </w:r>
          </w:p>
        </w:tc>
        <w:tc>
          <w:tcPr>
            <w:tcW w:w="6654" w:type="dxa"/>
            <w:tcBorders>
              <w:top w:val="single" w:sz="6" w:space="0" w:color="auto"/>
              <w:left w:val="single" w:sz="6" w:space="0" w:color="auto"/>
              <w:bottom w:val="single" w:sz="6" w:space="0" w:color="auto"/>
              <w:right w:val="single" w:sz="6" w:space="0" w:color="auto"/>
            </w:tcBorders>
          </w:tcPr>
          <w:p w:rsidR="00B7513B" w:rsidRPr="0078494C" w:rsidRDefault="00B7513B" w:rsidP="00674CFB">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Волоколамск</w:t>
            </w:r>
          </w:p>
        </w:tc>
      </w:tr>
    </w:tbl>
    <w:p w:rsidR="00B7513B" w:rsidRPr="0078494C" w:rsidRDefault="00B7513B" w:rsidP="00B7513B">
      <w:pPr>
        <w:rPr>
          <w:rFonts w:ascii="Times New Roman" w:hAnsi="Times New Roman" w:cs="Times New Roman"/>
          <w:lang w:val="en-US"/>
        </w:rPr>
      </w:pPr>
    </w:p>
    <w:p w:rsidR="0018785C" w:rsidRDefault="00B7513B"/>
    <w:sectPr w:rsidR="00187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3B"/>
    <w:rsid w:val="00253AF1"/>
    <w:rsid w:val="006119FB"/>
    <w:rsid w:val="00B7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3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B7513B"/>
    <w:rPr>
      <w:rFonts w:ascii="Times New Roman" w:hAnsi="Times New Roman" w:cs="Times New Roman" w:hint="default"/>
      <w:sz w:val="26"/>
      <w:szCs w:val="26"/>
    </w:rPr>
  </w:style>
  <w:style w:type="paragraph" w:customStyle="1" w:styleId="Style9">
    <w:name w:val="Style9"/>
    <w:basedOn w:val="a"/>
    <w:uiPriority w:val="99"/>
    <w:rsid w:val="00B7513B"/>
    <w:pPr>
      <w:widowControl w:val="0"/>
      <w:autoSpaceDE w:val="0"/>
      <w:autoSpaceDN w:val="0"/>
      <w:adjustRightInd w:val="0"/>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3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B7513B"/>
    <w:rPr>
      <w:rFonts w:ascii="Times New Roman" w:hAnsi="Times New Roman" w:cs="Times New Roman" w:hint="default"/>
      <w:sz w:val="26"/>
      <w:szCs w:val="26"/>
    </w:rPr>
  </w:style>
  <w:style w:type="paragraph" w:customStyle="1" w:styleId="Style9">
    <w:name w:val="Style9"/>
    <w:basedOn w:val="a"/>
    <w:uiPriority w:val="99"/>
    <w:rsid w:val="00B7513B"/>
    <w:pPr>
      <w:widowControl w:val="0"/>
      <w:autoSpaceDE w:val="0"/>
      <w:autoSpaceDN w:val="0"/>
      <w:adjustRightInd w:val="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Зайков Александр Геннадьевич</cp:lastModifiedBy>
  <cp:revision>1</cp:revision>
  <dcterms:created xsi:type="dcterms:W3CDTF">2021-04-12T13:36:00Z</dcterms:created>
  <dcterms:modified xsi:type="dcterms:W3CDTF">2021-04-12T13:41:00Z</dcterms:modified>
</cp:coreProperties>
</file>