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9" w:rsidRPr="0056377D" w:rsidRDefault="00187B59" w:rsidP="00187B59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  <w:bookmarkStart w:id="0" w:name="_Toc447719632"/>
      <w:bookmarkStart w:id="1" w:name="_GoBack"/>
      <w:bookmarkEnd w:id="1"/>
      <w:r w:rsidRPr="0056377D">
        <w:rPr>
          <w:sz w:val="20"/>
          <w:szCs w:val="20"/>
        </w:rPr>
        <w:t>ОПИСАНИЕ ОБЪЕКТА ЗАКУПКИ</w:t>
      </w:r>
      <w:bookmarkEnd w:id="0"/>
    </w:p>
    <w:p w:rsidR="00187B59" w:rsidRPr="0056377D" w:rsidRDefault="00187B59" w:rsidP="00187B59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p w:rsidR="00187B59" w:rsidRPr="0056377D" w:rsidRDefault="00187B59" w:rsidP="00187B59">
      <w:pPr>
        <w:keepNext/>
        <w:widowControl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 xml:space="preserve">Наименование объекта закупки: </w:t>
      </w:r>
      <w:r>
        <w:rPr>
          <w:sz w:val="20"/>
          <w:szCs w:val="20"/>
        </w:rPr>
        <w:t>в</w:t>
      </w:r>
      <w:r w:rsidRPr="0056377D">
        <w:rPr>
          <w:sz w:val="20"/>
          <w:szCs w:val="20"/>
        </w:rPr>
        <w:t>ыполнение работ по изготовлению протезно - ортопедических изделий (</w:t>
      </w:r>
      <w:r>
        <w:rPr>
          <w:sz w:val="20"/>
          <w:szCs w:val="20"/>
        </w:rPr>
        <w:t>п</w:t>
      </w:r>
      <w:r w:rsidRPr="0056377D">
        <w:rPr>
          <w:sz w:val="20"/>
          <w:szCs w:val="20"/>
        </w:rPr>
        <w:t>ротезы нижних конечностей) для обеспечения в 2021 году инвалидов.</w:t>
      </w:r>
    </w:p>
    <w:p w:rsidR="00187B59" w:rsidRDefault="00187B59" w:rsidP="00187B59">
      <w:pPr>
        <w:keepNext/>
        <w:widowControl w:val="0"/>
        <w:spacing w:after="0"/>
        <w:ind w:right="-2"/>
        <w:rPr>
          <w:sz w:val="20"/>
          <w:szCs w:val="20"/>
        </w:rPr>
      </w:pPr>
    </w:p>
    <w:tbl>
      <w:tblPr>
        <w:tblW w:w="10786" w:type="dxa"/>
        <w:jc w:val="center"/>
        <w:tblInd w:w="-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474"/>
        <w:gridCol w:w="7175"/>
        <w:gridCol w:w="1404"/>
      </w:tblGrid>
      <w:tr w:rsidR="00187B59" w:rsidRPr="00EF3CF5" w:rsidTr="00047D52">
        <w:trPr>
          <w:trHeight w:val="77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ind w:left="-70" w:right="-65" w:hanging="8"/>
              <w:jc w:val="center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lang w:eastAsia="ar-SA"/>
              </w:rPr>
              <w:t>№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ind w:left="-70" w:right="-65" w:hanging="8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EF3CF5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EF3CF5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ind w:left="-70" w:right="-65" w:hanging="8"/>
              <w:jc w:val="center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lang w:eastAsia="ar-SA"/>
              </w:rPr>
              <w:t>Наименование закупаемого изделия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ind w:left="-70" w:right="-65" w:hanging="8"/>
              <w:jc w:val="center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lang w:eastAsia="ar-SA"/>
              </w:rPr>
              <w:t>Описание функциональных и технических характеристик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ind w:left="-70" w:right="-65" w:hanging="8"/>
              <w:jc w:val="center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lang w:eastAsia="ar-SA"/>
              </w:rPr>
              <w:t>закупаемого изделия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ind w:left="-70" w:right="-65" w:hanging="8"/>
              <w:jc w:val="center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shd w:val="clear" w:color="auto" w:fill="FFFFFF"/>
                <w:lang w:eastAsia="ar-SA"/>
              </w:rPr>
              <w:t xml:space="preserve">Количество </w:t>
            </w:r>
            <w:r w:rsidRPr="00EF3CF5">
              <w:rPr>
                <w:sz w:val="20"/>
                <w:szCs w:val="20"/>
                <w:lang w:eastAsia="ar-SA"/>
              </w:rPr>
              <w:t>закупаемых изделий (Штука (шт.))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Протез бедра для купания</w:t>
            </w: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для купания. Гильза изготовлена по индивидуальному позитиву с культи инвалида из литьевого слоистого пластика, допускается применение одной пробной гильзы из термопласта. Коленный модуль с различными системами управления. Все регулировочно - соединительные устройства водостойкие (не подверженные коррозии). Стопа со специальным рифлением на подошве. Крепление вакуумным клапаном.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Протез голени для купания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голени модульный для принятия водных процедур. Гильза изготавливается по индивидуальному гипсовому позитиву с культи инвалида, материал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приемной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гильзы – листовой термопласт или слоистый пластик на основе смол.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Комплектующие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из коррозийно-стойких материалов, допускается применение чехлов из полимерных материалов, вкладыша упруго-эластичного, крепление силиконовым наколенником. Стопа со специальным рифлением на подошве. </w:t>
            </w:r>
            <w:r w:rsidRPr="00EF3CF5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Гарантийный срок </w:t>
            </w: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немодульный,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бедра, немодульный,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приемная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гильза унифицированная, изготовленная по типоразмерам, шаблонам или индивидуальная, из дерева или кожи, из слоистого пластика,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приемных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пробных гильз нет, без вкладной гильзы, крепление поясное с использованием кожаных полуфабрикатов, поясом,  постоянный. Гарантийный срок протеза бедра  не менее 7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lang w:eastAsia="ar-SA"/>
              </w:rPr>
              <w:t>Протез при вычленении бедра модульный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lang w:eastAsia="ar-SA"/>
              </w:rPr>
              <w:t xml:space="preserve">Протез при вычленении бедра модульный. Пробная </w:t>
            </w:r>
            <w:proofErr w:type="spellStart"/>
            <w:r w:rsidRPr="00EF3CF5">
              <w:rPr>
                <w:sz w:val="20"/>
                <w:szCs w:val="20"/>
                <w:lang w:eastAsia="ar-SA"/>
              </w:rPr>
              <w:t>приемная</w:t>
            </w:r>
            <w:proofErr w:type="spellEnd"/>
            <w:r w:rsidRPr="00EF3CF5">
              <w:rPr>
                <w:sz w:val="20"/>
                <w:szCs w:val="20"/>
                <w:lang w:eastAsia="ar-SA"/>
              </w:rPr>
              <w:t xml:space="preserve"> гильза по слепку из термопласта, постоянная </w:t>
            </w:r>
            <w:proofErr w:type="spellStart"/>
            <w:r w:rsidRPr="00EF3CF5">
              <w:rPr>
                <w:sz w:val="20"/>
                <w:szCs w:val="20"/>
                <w:lang w:eastAsia="ar-SA"/>
              </w:rPr>
              <w:t>приемная</w:t>
            </w:r>
            <w:proofErr w:type="spellEnd"/>
            <w:r w:rsidRPr="00EF3CF5">
              <w:rPr>
                <w:sz w:val="20"/>
                <w:szCs w:val="20"/>
                <w:lang w:eastAsia="ar-SA"/>
              </w:rPr>
              <w:t xml:space="preserve"> гильза-корсет по слепку из литьевого слоистого пластика на основе акриловых смол (допускается применение одной или двух пробных гильз). Механический тазобедренный шарнир с регулируемым механизмом толкателя для управления фазой переноса. Коленный модуль полицентрический. Стопа со средней степенью энергосбережения.  Регулировочно-соединительные устройства должны соответствовать весу инвалида. Косметическая облицовка модульная – </w:t>
            </w:r>
            <w:proofErr w:type="spellStart"/>
            <w:r w:rsidRPr="00EF3CF5">
              <w:rPr>
                <w:sz w:val="20"/>
                <w:szCs w:val="20"/>
                <w:lang w:eastAsia="ar-SA"/>
              </w:rPr>
              <w:t>пенополиуретан</w:t>
            </w:r>
            <w:proofErr w:type="spellEnd"/>
            <w:r w:rsidRPr="00EF3CF5">
              <w:rPr>
                <w:sz w:val="20"/>
                <w:szCs w:val="20"/>
                <w:lang w:eastAsia="ar-SA"/>
              </w:rPr>
              <w:t>.</w:t>
            </w:r>
          </w:p>
          <w:p w:rsidR="00187B59" w:rsidRPr="00EF3CF5" w:rsidRDefault="00187B59" w:rsidP="00047D52">
            <w:pPr>
              <w:keepNext/>
              <w:keepLines/>
              <w:spacing w:after="0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lang w:eastAsia="ar-SA"/>
              </w:rPr>
              <w:t xml:space="preserve">Гарантийный срок протеза не менее 12 месяцев </w:t>
            </w:r>
            <w:proofErr w:type="gramStart"/>
            <w:r w:rsidRPr="00EF3CF5">
              <w:rPr>
                <w:sz w:val="20"/>
                <w:szCs w:val="20"/>
                <w:lang w:eastAsia="ar-SA"/>
              </w:rPr>
              <w:t>с даты выдачи</w:t>
            </w:r>
            <w:proofErr w:type="gramEnd"/>
            <w:r w:rsidRPr="00EF3CF5">
              <w:rPr>
                <w:sz w:val="20"/>
                <w:szCs w:val="20"/>
                <w:lang w:eastAsia="ar-SA"/>
              </w:rPr>
              <w:t xml:space="preserve"> готового изделия Получателю.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 без пробных гильз. Материал индивидуальной постоянной гильзы: литьевой слоистый пластик. Стопа со средней степенью энергосбережения,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val="en-US" w:eastAsia="hi-IN" w:bidi="hi-IN"/>
              </w:rPr>
              <w:t>c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топа подходит для различной скорости ходьбы, для ходьбы по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пересеченной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местности без ухудшения комфортности. Коленный шарнир гидравлический, полицентрический с механизмом геометрического замыкания, регулировка фазы переноса, регулируемое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голеннооткидное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устройство. Крепление вакуумным клапаном и бандажом. Применяется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индивидуальная. Материал индивидуальной постоянной гильзы: литьевой слоистый пластик. В качестве вкладного элемента применяется чехол из полимерных материалов. Стопа со средней степенью энергосбережения. Коленный шарнир гидравлический, полицентрический с механизмом геометрического замыкания, регулировка фазы переноса, регулируемое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голеннооткидное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устройство. Крепление вакуумным клапаном и бандажом. Применяется дополнительное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lastRenderedPageBreak/>
              <w:t xml:space="preserve">готового изделия Получателю. Гарантийный срок полимерного чехла 6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lastRenderedPageBreak/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lastRenderedPageBreak/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 одна пробная гильза. Материал индивидуальной постоянной гильзы: литьевой слоистый пластик. В качестве вкладного элемента применяется чехол из полимерных материалов. Стопа со средней степенью энергосбережения. Коленный шарнир гидравлический, моноцентрический. Крепление с замком для чехлов из полимерных материалов. Применяется дополнительное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Гарантийный срок полимерного чехла 6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 модульный. Формообразующая часть косметической облицовки.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индивидуальная. Материал индивидуальной постоянной гильзы: литьевой слоистый пластик. Стопа со средней степенью энергосбережения. Коленный шарнир полицентрический с «геометрическим замком» с регулированием фазы переноса, регулируемое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голенооткидное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устройство. В качестве вкладного элемента применяется чехол силиконовый с замком. Применяется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 Приёмная гильза индивидуальная одна пробная гильза. Материал индивидуальной постоянной гильзы: литьевой слоистый пластик. Стопа со средней степенью энергосбережения. Коленный шарнир гидравлический с независимым гидравлическим регулированием фаз сгибания-разгибания. Крепление вакуумным клапаном и бандажом. Применяется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индивидуальная. Материал индивидуальной постоянной гильзы: литьевой слоистый пластик. В качестве вкладного элемента применяется чехол из полимерных материалов, крепление вакуумное. Регулировочно-соединительные устройства соответствуют весу инвалида. Стопа со средней степенью энергосбережения, снижает ударную нагрузку на культю, суставы и поясницу, обеспечивает плавный перекат. Коленный модуль гидравлический, полицентрический. Гарантийный срок протеза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Гарантийный срок полимерного чехла не менее 6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индивидуальная, применение одной, пробной гильзы. Материал индивидуальной постоянной гильзы: литьевой слоистый пластик. Вкладная гильза из мягкого термопластичного пластика. Крепление протеза с использованием бандажа и вакуумного клапана. Регулировочно-соединительные устройства соответствуют весу инвалида. Стопа со средней степенью энергосбережения. Коленный шарнир гидравлический, полицентрический. Применяется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Протез голени модульный, в том числе при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голени модульный. Без косметической облицовки. Приёмная гильза индивидуальная. Материал индивидуальной постоянной гильзы: литьевой слоистый пластик. В качестве вкладного элемента применяются чехлы из полимерных материалов, крепление с замком для полимерных чехлов. Регулировочно-соединительные устройства соответствуют весу инвалида. Стопа с высокой степенью энергосбережения.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  <w:r w:rsidRPr="00EF3CF5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Гарантийный срок полимерных чехлов не менее </w:t>
            </w: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6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lastRenderedPageBreak/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Протез голени модульный, в том числе при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 применение одной пробной гильзы. Материал индивидуальной постоянной гильзы: литьевой слоистый пластик. В качестве вкладного элемента применяются чехлы из полимерных материалов, крепление с использованием гильзы бедра. Регулировочно-соединительные устройства соответствуют весу инвалида. Стопа с высокой степенью энергосбережения.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Гарантийный срок полимерных чехлов не менее </w:t>
            </w: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6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 применение одной пробной гильзы. Материал индивидуальной постоянной гильзы: литьевой слоистый пластик. Регулировочно-соединительные устройства соответствуют весу инвалида. Стопа с высокой степенью энергосбережения. Коленный шарнир пневматический, полицентрический с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высокой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подкосоустойчивостью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Крепление вакуумное.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индивидуальная. Материал индивидуальной постоянной гильзы: литьевой слоистый пластик. В качестве вкладного элемента применяется чехол из полимерных материалов. Регулировочно-соединительные устройства соответствуют весу инвалида. Стопа со средней степенью энергосбережения,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бесшарнирная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Коленный модуль гидравлический, полицентрический. Крепление с использованием замка для полимерных чехлов.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  <w:r w:rsidRPr="00EF3CF5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Гарантийный срок полимерных чехлов не менее </w:t>
            </w: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6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полужесткая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индивидуальная. Материал индивидуальной постоянной гильзы: литьевой слоистый пластик. В качестве вкладного элемента применяется чехол из полимерных материалов. Регулировочно-соединительные устройства соответствуют весу инвалида. Стопа энергосберегающая, обеспечивающая физиологический перекат и подталкивающий эффект при переходе на носок стопы. Коленный модуль гидравлический, полицентрический. Крепление с использованием замка для полимерных чехлов. Применяется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  <w:r w:rsidRPr="00EF3CF5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Гарантийный срок полимерных чехлов не менее </w:t>
            </w: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6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</w:t>
            </w:r>
            <w:r w:rsidRPr="00EF3CF5">
              <w:rPr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индивидуальная. Материал индивидуальной постоянной гильзы: литьевой слоистый пластик. В качестве вкладного элемента применяется чехол из полимерных материалов. Регулировочно-соединительные устройства соответствуют весу инвалида. Стопа энергосберегающая, обеспечивающая физиологический перекат и подталкивающий эффект при переходе на носок стопы. Коленный модуль гидравлический, полицентрический. Крепление с использованием замка для полимерных чехлов. Применяется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  <w:r w:rsidRPr="00EF3CF5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Гарантийный срок полимерных чехлов не менее </w:t>
            </w: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6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</w:t>
            </w:r>
            <w:r w:rsidRPr="00EF3CF5">
              <w:rPr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 применение одной пробной гильзы. Материал индивидуальной постоянной гильзы: литьевой слоистый пластик. Регулировочно-соединительные устройства соответствуют весу инвалида. Стопа энергосберегающая, обеспечивающая </w:t>
            </w: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lastRenderedPageBreak/>
              <w:t xml:space="preserve">физиологический перекат и подталкивающий эффект при переходе на носок стопы. Коленный шарнир пневматический, полицентрический. Крепление бандажом и вакуумным клапаном. Применяется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lastRenderedPageBreak/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lastRenderedPageBreak/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 одна пробная гильза. Материал индивидуальной постоянной гильзы: литьевой слоистый пластик. В качестве вкладного элемента применяется чехол из полимерных материалов. Стопа со средней степенью энергосбережения. Коленный шарнир гидравлический, моноцентрический. Крепление вакуумное. Применяется дополнительное поворотное устройство.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Гарантийный срок полимерного чехла не менее 6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 без пробных гильз. Материал индивидуальной постоянной гильзы: литьевой слоистый пластик. Применяется винтовой гильзовый адаптер. Стопа со средней степенью энергосбережения,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val="en-US" w:eastAsia="hi-IN" w:bidi="hi-IN"/>
              </w:rPr>
              <w:t>c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топа подходит для различной скорости ходьбы, для ходьбы по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пересеченной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местности без ухудшения комфортности. Коленный шарнир гидравлический, полицентрический. Крепление вакуумным клапаном и бандажом.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Применяется поворотное устройство.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jc w:val="center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модульный, в том числе при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врожденном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недоразвитии</w:t>
            </w:r>
          </w:p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rPr>
                <w:rFonts w:eastAsia="Arial"/>
                <w:kern w:val="1"/>
                <w:sz w:val="20"/>
                <w:szCs w:val="20"/>
                <w:lang w:eastAsia="hi-IN" w:bidi="hi-IN"/>
              </w:rPr>
            </w:pPr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силоновые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. Приёмная гильза индивидуальная применяется одна пробная гильза. Материал индивидуальной постоянной гильзы: литьевой слоистый пластик. Применяется винтовой гильзовый адаптер. Стопа с высокой степенью энергосбережения,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val="en-US" w:eastAsia="hi-IN" w:bidi="hi-IN"/>
              </w:rPr>
              <w:t>c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топа подходит для различной скорости ходьбы, для ходьбы по </w:t>
            </w:r>
            <w:proofErr w:type="spell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пересеченной</w:t>
            </w:r>
            <w:proofErr w:type="spell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местности без ухудшения комфортности. Коленный шарнир гидравлический, полицентрический. Крепление вакуумным клапаном и бандажом. Гарантийный срок не менее 12 месяцев </w:t>
            </w:r>
            <w:proofErr w:type="gramStart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>с даты выдачи</w:t>
            </w:r>
            <w:proofErr w:type="gramEnd"/>
            <w:r w:rsidRPr="00EF3CF5">
              <w:rPr>
                <w:rFonts w:eastAsia="Arial"/>
                <w:kern w:val="1"/>
                <w:sz w:val="20"/>
                <w:szCs w:val="20"/>
                <w:lang w:eastAsia="hi-IN" w:bidi="hi-IN"/>
              </w:rPr>
              <w:t xml:space="preserve"> готового изделия Получателю. Применяется поворотное устройство.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F3CF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87B59" w:rsidRPr="00EF3CF5" w:rsidTr="00047D52">
        <w:trPr>
          <w:trHeight w:val="7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ind w:left="-70" w:right="-65" w:hanging="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uppressAutoHyphens/>
              <w:spacing w:after="0"/>
              <w:ind w:left="-70" w:right="-65" w:hanging="8"/>
              <w:jc w:val="center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spacing w:after="0"/>
              <w:ind w:left="-70" w:right="-65" w:hanging="8"/>
              <w:rPr>
                <w:rFonts w:eastAsia="Arial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9" w:rsidRPr="00EF3CF5" w:rsidRDefault="00187B59" w:rsidP="00047D52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/>
              <w:ind w:left="-70" w:right="-65" w:hanging="8"/>
              <w:jc w:val="center"/>
              <w:rPr>
                <w:sz w:val="20"/>
                <w:szCs w:val="20"/>
                <w:lang w:eastAsia="ar-SA"/>
              </w:rPr>
            </w:pPr>
            <w:r w:rsidRPr="00EF3CF5">
              <w:rPr>
                <w:sz w:val="20"/>
                <w:szCs w:val="20"/>
                <w:lang w:eastAsia="ar-SA"/>
              </w:rPr>
              <w:t>94</w:t>
            </w:r>
          </w:p>
        </w:tc>
      </w:tr>
    </w:tbl>
    <w:p w:rsidR="00187B59" w:rsidRPr="0056377D" w:rsidRDefault="00187B59" w:rsidP="00187B59">
      <w:pPr>
        <w:keepNext/>
        <w:widowControl w:val="0"/>
        <w:spacing w:after="0"/>
        <w:ind w:right="-2"/>
        <w:rPr>
          <w:sz w:val="20"/>
          <w:szCs w:val="20"/>
        </w:rPr>
      </w:pP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proofErr w:type="gramStart"/>
      <w:r w:rsidRPr="0056377D">
        <w:rPr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56377D">
        <w:rPr>
          <w:rStyle w:val="ng-binding"/>
          <w:sz w:val="20"/>
          <w:szCs w:val="20"/>
        </w:rPr>
        <w:t>протезно-ортопедических изделий</w:t>
      </w:r>
      <w:r w:rsidRPr="0056377D">
        <w:rPr>
          <w:sz w:val="20"/>
          <w:szCs w:val="20"/>
        </w:rPr>
        <w:t xml:space="preserve"> и индивидуальными программами реабилитации или </w:t>
      </w:r>
      <w:proofErr w:type="spellStart"/>
      <w:r w:rsidRPr="0056377D">
        <w:rPr>
          <w:sz w:val="20"/>
          <w:szCs w:val="20"/>
        </w:rPr>
        <w:t>абилитации</w:t>
      </w:r>
      <w:proofErr w:type="spellEnd"/>
      <w:r w:rsidRPr="0056377D">
        <w:rPr>
          <w:sz w:val="20"/>
          <w:szCs w:val="20"/>
        </w:rPr>
        <w:t xml:space="preserve"> инвалидов (ИПРА).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Межгосударственных стандартов: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6377D">
        <w:rPr>
          <w:sz w:val="20"/>
          <w:szCs w:val="20"/>
        </w:rPr>
        <w:t>цитотоксичность</w:t>
      </w:r>
      <w:proofErr w:type="spellEnd"/>
      <w:r w:rsidRPr="0056377D">
        <w:rPr>
          <w:sz w:val="20"/>
          <w:szCs w:val="20"/>
        </w:rPr>
        <w:t xml:space="preserve">: методы </w:t>
      </w:r>
      <w:proofErr w:type="spellStart"/>
      <w:r w:rsidRPr="0056377D">
        <w:rPr>
          <w:sz w:val="20"/>
          <w:szCs w:val="20"/>
        </w:rPr>
        <w:t>in</w:t>
      </w:r>
      <w:proofErr w:type="spellEnd"/>
      <w:r w:rsidRPr="0056377D">
        <w:rPr>
          <w:sz w:val="20"/>
          <w:szCs w:val="20"/>
        </w:rPr>
        <w:t xml:space="preserve"> </w:t>
      </w:r>
      <w:proofErr w:type="spellStart"/>
      <w:r w:rsidRPr="0056377D">
        <w:rPr>
          <w:sz w:val="20"/>
          <w:szCs w:val="20"/>
        </w:rPr>
        <w:t>vitro</w:t>
      </w:r>
      <w:proofErr w:type="spellEnd"/>
      <w:r w:rsidRPr="0056377D">
        <w:rPr>
          <w:sz w:val="20"/>
          <w:szCs w:val="20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Государственных стандартов Российской </w:t>
      </w:r>
      <w:r w:rsidRPr="0056377D">
        <w:rPr>
          <w:sz w:val="20"/>
          <w:szCs w:val="20"/>
        </w:rPr>
        <w:lastRenderedPageBreak/>
        <w:t xml:space="preserve">Федерации: ГОСТ </w:t>
      </w:r>
      <w:proofErr w:type="gramStart"/>
      <w:r w:rsidRPr="0056377D">
        <w:rPr>
          <w:sz w:val="20"/>
          <w:szCs w:val="20"/>
        </w:rPr>
        <w:t>Р</w:t>
      </w:r>
      <w:proofErr w:type="gramEnd"/>
      <w:r w:rsidRPr="0056377D">
        <w:rPr>
          <w:sz w:val="20"/>
          <w:szCs w:val="20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  <w:r>
        <w:rPr>
          <w:sz w:val="20"/>
          <w:szCs w:val="20"/>
        </w:rPr>
        <w:t xml:space="preserve">, </w:t>
      </w:r>
      <w:r w:rsidRPr="0056377D">
        <w:rPr>
          <w:sz w:val="20"/>
          <w:szCs w:val="20"/>
        </w:rPr>
        <w:t xml:space="preserve">ГОСТ </w:t>
      </w:r>
      <w:proofErr w:type="gramStart"/>
      <w:r w:rsidRPr="0056377D">
        <w:rPr>
          <w:sz w:val="20"/>
          <w:szCs w:val="20"/>
        </w:rPr>
        <w:t>Р</w:t>
      </w:r>
      <w:proofErr w:type="gramEnd"/>
      <w:r w:rsidRPr="0056377D">
        <w:rPr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56377D">
        <w:rPr>
          <w:sz w:val="20"/>
          <w:szCs w:val="20"/>
        </w:rPr>
        <w:t>Р</w:t>
      </w:r>
      <w:proofErr w:type="gramEnd"/>
      <w:r w:rsidRPr="0056377D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56377D">
        <w:rPr>
          <w:sz w:val="20"/>
          <w:szCs w:val="20"/>
        </w:rPr>
        <w:t>Р</w:t>
      </w:r>
      <w:proofErr w:type="gramEnd"/>
      <w:r w:rsidRPr="0056377D">
        <w:rPr>
          <w:sz w:val="20"/>
          <w:szCs w:val="20"/>
        </w:rPr>
        <w:t xml:space="preserve"> 51819-2017 «Протезирование и </w:t>
      </w:r>
      <w:proofErr w:type="spellStart"/>
      <w:r w:rsidRPr="0056377D">
        <w:rPr>
          <w:sz w:val="20"/>
          <w:szCs w:val="20"/>
        </w:rPr>
        <w:t>ортезирование</w:t>
      </w:r>
      <w:proofErr w:type="spellEnd"/>
      <w:r w:rsidRPr="0056377D">
        <w:rPr>
          <w:sz w:val="20"/>
          <w:szCs w:val="20"/>
        </w:rPr>
        <w:t xml:space="preserve"> верхних и нижних конечностей. Термины и определения», ГОСТ </w:t>
      </w:r>
      <w:proofErr w:type="gramStart"/>
      <w:r w:rsidRPr="0056377D">
        <w:rPr>
          <w:sz w:val="20"/>
          <w:szCs w:val="20"/>
        </w:rPr>
        <w:t>Р</w:t>
      </w:r>
      <w:proofErr w:type="gramEnd"/>
      <w:r w:rsidRPr="0056377D">
        <w:rPr>
          <w:sz w:val="20"/>
          <w:szCs w:val="20"/>
        </w:rPr>
        <w:t xml:space="preserve"> 56138-2014 «Протезы верхних конечностей. Технические требования»), ГОСТ </w:t>
      </w:r>
      <w:proofErr w:type="gramStart"/>
      <w:r w:rsidRPr="0056377D">
        <w:rPr>
          <w:sz w:val="20"/>
          <w:szCs w:val="20"/>
        </w:rPr>
        <w:t>Р</w:t>
      </w:r>
      <w:proofErr w:type="gramEnd"/>
      <w:r w:rsidRPr="0056377D">
        <w:rPr>
          <w:sz w:val="20"/>
          <w:szCs w:val="20"/>
        </w:rPr>
        <w:t xml:space="preserve"> ИСО 22523-2007 «Протезы конечностей и </w:t>
      </w:r>
      <w:proofErr w:type="spellStart"/>
      <w:r w:rsidRPr="0056377D">
        <w:rPr>
          <w:sz w:val="20"/>
          <w:szCs w:val="20"/>
        </w:rPr>
        <w:t>ортезы</w:t>
      </w:r>
      <w:proofErr w:type="spellEnd"/>
      <w:r w:rsidRPr="0056377D">
        <w:rPr>
          <w:sz w:val="20"/>
          <w:szCs w:val="20"/>
        </w:rPr>
        <w:t xml:space="preserve"> наружные. </w:t>
      </w:r>
      <w:proofErr w:type="gramStart"/>
      <w:r w:rsidRPr="0056377D">
        <w:rPr>
          <w:sz w:val="20"/>
          <w:szCs w:val="20"/>
        </w:rPr>
        <w:t>Требования и методы испытаний»).</w:t>
      </w:r>
      <w:proofErr w:type="gramEnd"/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-безопасность для кожных покровов;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-эстетичность;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-простота пользования.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При использовании изделия по назначению, не должно создаваться угрозы для жизни и здоровья Потребителя.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Работы по изготовлению протезно-ортопедических изделий не подлежат лицензированию. При этом</w:t>
      </w:r>
      <w:proofErr w:type="gramStart"/>
      <w:r w:rsidRPr="0056377D">
        <w:rPr>
          <w:sz w:val="20"/>
          <w:szCs w:val="20"/>
        </w:rPr>
        <w:t>,</w:t>
      </w:r>
      <w:proofErr w:type="gramEnd"/>
      <w:r w:rsidRPr="0056377D">
        <w:rPr>
          <w:sz w:val="20"/>
          <w:szCs w:val="20"/>
        </w:rPr>
        <w:t xml:space="preserve"> в случае необходимости проведения медицинских мероприятий, направленных на частичное восстановление опорно-двигательных функций и/или устранения косметических дефектов верхних и нижних конечностей пациентов с помощью протезов конечностей, у Исполнителя (соисполнителя) обязательно наличие действующей лицензии на осуществление медицинской деятельности.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Маркировка упаковки изделий должна включать: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 страну-изготовителя;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56377D">
        <w:rPr>
          <w:sz w:val="20"/>
          <w:szCs w:val="20"/>
        </w:rPr>
        <w:t>техническим исполнением</w:t>
      </w:r>
      <w:proofErr w:type="gramEnd"/>
      <w:r w:rsidRPr="0056377D">
        <w:rPr>
          <w:sz w:val="20"/>
          <w:szCs w:val="20"/>
        </w:rPr>
        <w:t xml:space="preserve"> (при наличии);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 номер артикула (при наличии);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 количество изделий в упаковке;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 правила использования (при необходимости);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 штриховой код изделия (при наличии);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- информацию о сертификации (при наличии).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Место выполнения работ: 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Выполнение работ должно быть осуществлено в Российской Федерации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proofErr w:type="gramStart"/>
      <w:r w:rsidRPr="0056377D">
        <w:rPr>
          <w:sz w:val="20"/>
          <w:szCs w:val="20"/>
        </w:rPr>
        <w:t xml:space="preserve">В целях удобства инвалидов осуществлять в Республике Башкортостан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</w:t>
      </w:r>
      <w:r w:rsidRPr="0056377D">
        <w:rPr>
          <w:sz w:val="20"/>
          <w:szCs w:val="20"/>
        </w:rPr>
        <w:lastRenderedPageBreak/>
        <w:t>Республики Башкортостан, а также организацию выезда на дом и др.</w:t>
      </w:r>
      <w:proofErr w:type="gramEnd"/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Срок выполнения работ: </w:t>
      </w:r>
      <w:r>
        <w:rPr>
          <w:sz w:val="20"/>
          <w:szCs w:val="20"/>
        </w:rPr>
        <w:t>с</w:t>
      </w:r>
      <w:r w:rsidRPr="0056377D">
        <w:rPr>
          <w:sz w:val="20"/>
          <w:szCs w:val="20"/>
        </w:rPr>
        <w:t xml:space="preserve">о дня заключения контракта до </w:t>
      </w:r>
      <w:r>
        <w:rPr>
          <w:sz w:val="20"/>
          <w:szCs w:val="20"/>
        </w:rPr>
        <w:t>15.12</w:t>
      </w:r>
      <w:r w:rsidRPr="0056377D">
        <w:rPr>
          <w:sz w:val="20"/>
          <w:szCs w:val="20"/>
        </w:rPr>
        <w:t xml:space="preserve">.2021 г. должно быть выполнено 100 % общего </w:t>
      </w:r>
      <w:proofErr w:type="spellStart"/>
      <w:r w:rsidRPr="0056377D">
        <w:rPr>
          <w:sz w:val="20"/>
          <w:szCs w:val="20"/>
        </w:rPr>
        <w:t>объема</w:t>
      </w:r>
      <w:proofErr w:type="spellEnd"/>
      <w:r w:rsidRPr="0056377D">
        <w:rPr>
          <w:sz w:val="20"/>
          <w:szCs w:val="20"/>
        </w:rPr>
        <w:t xml:space="preserve"> работ.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187B59" w:rsidRPr="0056377D" w:rsidRDefault="00187B59" w:rsidP="00187B59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B957B2" w:rsidRDefault="00187B59" w:rsidP="00187B59">
      <w:r w:rsidRPr="0056377D">
        <w:rPr>
          <w:sz w:val="20"/>
          <w:szCs w:val="20"/>
        </w:rPr>
        <w:br w:type="page"/>
      </w: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B2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87B59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3B2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18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18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3454</Words>
  <Characters>19692</Characters>
  <Application>Microsoft Office Word</Application>
  <DocSecurity>0</DocSecurity>
  <Lines>164</Lines>
  <Paragraphs>46</Paragraphs>
  <ScaleCrop>false</ScaleCrop>
  <Company/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2021-05-20T10:13:00Z</dcterms:created>
  <dcterms:modified xsi:type="dcterms:W3CDTF">2021-05-20T10:13:00Z</dcterms:modified>
</cp:coreProperties>
</file>