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E3C" w:rsidRPr="008622D9" w:rsidRDefault="00017E3C" w:rsidP="00017E3C">
      <w:pPr>
        <w:ind w:left="-284"/>
        <w:jc w:val="both"/>
      </w:pPr>
      <w:r>
        <w:rPr>
          <w:b/>
        </w:rPr>
        <w:t xml:space="preserve">Техническое задание </w:t>
      </w:r>
      <w:r w:rsidRPr="008622D9">
        <w:rPr>
          <w:b/>
        </w:rPr>
        <w:t>Наименование объекта закупки:</w:t>
      </w:r>
      <w:r w:rsidRPr="008622D9">
        <w:t xml:space="preserve"> Обеспечение </w:t>
      </w:r>
      <w:proofErr w:type="gramStart"/>
      <w:r w:rsidRPr="008622D9">
        <w:t>лиц</w:t>
      </w:r>
      <w:proofErr w:type="gramEnd"/>
      <w:r w:rsidRPr="008622D9">
        <w:t xml:space="preserve"> пострадавших вследствие несчастных случаев на производстве и профессиональных заболеваний протезами нижних конечностей в 2021г.</w:t>
      </w:r>
    </w:p>
    <w:p w:rsidR="00017E3C" w:rsidRPr="008622D9" w:rsidRDefault="00017E3C" w:rsidP="00017E3C">
      <w:pPr>
        <w:ind w:left="-284"/>
        <w:jc w:val="both"/>
      </w:pPr>
      <w:r w:rsidRPr="008622D9">
        <w:rPr>
          <w:b/>
        </w:rPr>
        <w:t xml:space="preserve">Количество выполняемых работ: </w:t>
      </w:r>
      <w:r>
        <w:rPr>
          <w:b/>
        </w:rPr>
        <w:t>2</w:t>
      </w:r>
      <w:r w:rsidRPr="008622D9">
        <w:t xml:space="preserve"> штук.</w:t>
      </w:r>
    </w:p>
    <w:p w:rsidR="00017E3C" w:rsidRPr="008622D9" w:rsidRDefault="00017E3C" w:rsidP="00017E3C">
      <w:pPr>
        <w:ind w:left="-284"/>
        <w:jc w:val="both"/>
        <w:rPr>
          <w:bCs/>
        </w:rPr>
      </w:pPr>
      <w:r w:rsidRPr="008622D9">
        <w:rPr>
          <w:b/>
          <w:bCs/>
        </w:rPr>
        <w:t>Место выполнения работ:</w:t>
      </w:r>
      <w:r w:rsidRPr="008622D9">
        <w:rPr>
          <w:bCs/>
        </w:rPr>
        <w:t xml:space="preserve"> </w:t>
      </w:r>
      <w:r w:rsidR="009F3C00" w:rsidRPr="00ED4C2B">
        <w:rPr>
          <w:bCs/>
        </w:rPr>
        <w:t>Российская Федерация, Республика Ингушетия по месту нахождения инвалида. по индивидуальным заказам застрахованного лица получившего повреждение здоровья вследствие несчастных случаев на производстве и профессиональных заболеваний</w:t>
      </w:r>
      <w:r w:rsidR="009F3C00">
        <w:rPr>
          <w:bCs/>
        </w:rPr>
        <w:t>.</w:t>
      </w:r>
      <w:bookmarkStart w:id="0" w:name="_GoBack"/>
      <w:bookmarkEnd w:id="0"/>
    </w:p>
    <w:p w:rsidR="00017E3C" w:rsidRPr="008622D9" w:rsidRDefault="00017E3C" w:rsidP="00017E3C">
      <w:pPr>
        <w:ind w:left="-284"/>
        <w:jc w:val="both"/>
        <w:rPr>
          <w:bCs/>
        </w:rPr>
      </w:pPr>
      <w:r w:rsidRPr="008622D9">
        <w:rPr>
          <w:b/>
          <w:bCs/>
        </w:rPr>
        <w:t xml:space="preserve">Срок выполнения работ: </w:t>
      </w:r>
      <w:r w:rsidRPr="008622D9">
        <w:rPr>
          <w:bCs/>
        </w:rPr>
        <w:t xml:space="preserve">в течении 30 дней со дня получения исполнителем </w:t>
      </w:r>
      <w:proofErr w:type="gramStart"/>
      <w:r w:rsidRPr="008622D9">
        <w:rPr>
          <w:bCs/>
        </w:rPr>
        <w:t>направления</w:t>
      </w:r>
      <w:proofErr w:type="gramEnd"/>
      <w:r w:rsidRPr="008622D9">
        <w:rPr>
          <w:bCs/>
        </w:rPr>
        <w:t xml:space="preserve"> выданного заказчиком.</w:t>
      </w:r>
    </w:p>
    <w:tbl>
      <w:tblPr>
        <w:tblpPr w:leftFromText="180" w:rightFromText="180" w:vertAnchor="text" w:horzAnchor="page" w:tblpX="648" w:tblpY="76"/>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938"/>
        <w:gridCol w:w="993"/>
      </w:tblGrid>
      <w:tr w:rsidR="00017E3C" w:rsidRPr="00C63696" w:rsidTr="00B72153">
        <w:trPr>
          <w:trHeight w:val="326"/>
        </w:trPr>
        <w:tc>
          <w:tcPr>
            <w:tcW w:w="1696" w:type="dxa"/>
            <w:vAlign w:val="center"/>
          </w:tcPr>
          <w:p w:rsidR="00017E3C" w:rsidRPr="008622D9" w:rsidRDefault="00017E3C" w:rsidP="00B72153">
            <w:pPr>
              <w:jc w:val="center"/>
              <w:rPr>
                <w:b/>
                <w:bCs/>
                <w:sz w:val="22"/>
                <w:szCs w:val="22"/>
              </w:rPr>
            </w:pPr>
            <w:r w:rsidRPr="008622D9">
              <w:rPr>
                <w:b/>
                <w:bCs/>
                <w:sz w:val="22"/>
                <w:szCs w:val="22"/>
              </w:rPr>
              <w:br w:type="page"/>
              <w:t>Наименование Изделий</w:t>
            </w:r>
          </w:p>
        </w:tc>
        <w:tc>
          <w:tcPr>
            <w:tcW w:w="7938" w:type="dxa"/>
            <w:vAlign w:val="center"/>
          </w:tcPr>
          <w:p w:rsidR="00017E3C" w:rsidRPr="008622D9" w:rsidRDefault="00017E3C" w:rsidP="00017E3C">
            <w:pPr>
              <w:numPr>
                <w:ilvl w:val="0"/>
                <w:numId w:val="1"/>
              </w:numPr>
              <w:adjustRightInd/>
              <w:jc w:val="center"/>
              <w:outlineLvl w:val="1"/>
              <w:rPr>
                <w:bCs/>
                <w:sz w:val="22"/>
                <w:szCs w:val="22"/>
              </w:rPr>
            </w:pPr>
            <w:r w:rsidRPr="008622D9">
              <w:rPr>
                <w:bCs/>
                <w:sz w:val="22"/>
                <w:szCs w:val="22"/>
              </w:rPr>
              <w:t>Описание функциональных и технических характеристик</w:t>
            </w:r>
          </w:p>
        </w:tc>
        <w:tc>
          <w:tcPr>
            <w:tcW w:w="993" w:type="dxa"/>
            <w:vAlign w:val="center"/>
          </w:tcPr>
          <w:p w:rsidR="00017E3C" w:rsidRPr="008622D9" w:rsidRDefault="00017E3C" w:rsidP="00B72153">
            <w:pPr>
              <w:jc w:val="center"/>
              <w:rPr>
                <w:b/>
                <w:bCs/>
                <w:sz w:val="22"/>
                <w:szCs w:val="22"/>
              </w:rPr>
            </w:pPr>
            <w:r w:rsidRPr="008622D9">
              <w:rPr>
                <w:b/>
                <w:bCs/>
                <w:sz w:val="22"/>
                <w:szCs w:val="22"/>
              </w:rPr>
              <w:t>Кол-во изделий (шт.)</w:t>
            </w:r>
          </w:p>
        </w:tc>
      </w:tr>
      <w:tr w:rsidR="00017E3C" w:rsidRPr="00C63696" w:rsidTr="00B72153">
        <w:trPr>
          <w:trHeight w:val="326"/>
        </w:trPr>
        <w:tc>
          <w:tcPr>
            <w:tcW w:w="1696" w:type="dxa"/>
            <w:tcBorders>
              <w:top w:val="single" w:sz="4" w:space="0" w:color="auto"/>
              <w:left w:val="single" w:sz="4" w:space="0" w:color="auto"/>
              <w:bottom w:val="single" w:sz="4" w:space="0" w:color="auto"/>
              <w:right w:val="nil"/>
            </w:tcBorders>
            <w:shd w:val="clear" w:color="auto" w:fill="FFFFFF"/>
            <w:vAlign w:val="center"/>
          </w:tcPr>
          <w:p w:rsidR="00017E3C" w:rsidRDefault="00017E3C" w:rsidP="00B72153">
            <w:pPr>
              <w:spacing w:after="60" w:line="210" w:lineRule="exact"/>
              <w:rPr>
                <w:color w:val="000000"/>
                <w:lang w:bidi="ru-RU"/>
              </w:rPr>
            </w:pPr>
            <w:r>
              <w:rPr>
                <w:color w:val="000000"/>
                <w:lang w:bidi="ru-RU"/>
              </w:rPr>
              <w:t xml:space="preserve">  Протез</w:t>
            </w:r>
          </w:p>
          <w:p w:rsidR="00017E3C" w:rsidRDefault="00017E3C" w:rsidP="00B72153">
            <w:pPr>
              <w:spacing w:before="60" w:after="300" w:line="210" w:lineRule="exact"/>
              <w:rPr>
                <w:color w:val="000000"/>
                <w:lang w:bidi="ru-RU"/>
              </w:rPr>
            </w:pPr>
            <w:r>
              <w:rPr>
                <w:color w:val="000000"/>
                <w:lang w:bidi="ru-RU"/>
              </w:rPr>
              <w:t xml:space="preserve">  бедра</w:t>
            </w:r>
          </w:p>
          <w:p w:rsidR="00017E3C" w:rsidRDefault="00017E3C" w:rsidP="00B72153">
            <w:pPr>
              <w:spacing w:before="300" w:line="210" w:lineRule="exact"/>
              <w:rPr>
                <w:color w:val="000000"/>
                <w:lang w:bidi="ru-RU"/>
              </w:rPr>
            </w:pPr>
          </w:p>
        </w:tc>
        <w:tc>
          <w:tcPr>
            <w:tcW w:w="7938" w:type="dxa"/>
            <w:tcBorders>
              <w:top w:val="single" w:sz="4" w:space="0" w:color="auto"/>
              <w:left w:val="single" w:sz="4" w:space="0" w:color="auto"/>
              <w:bottom w:val="single" w:sz="4" w:space="0" w:color="auto"/>
              <w:right w:val="nil"/>
            </w:tcBorders>
            <w:shd w:val="clear" w:color="auto" w:fill="FFFFFF"/>
            <w:vAlign w:val="bottom"/>
          </w:tcPr>
          <w:p w:rsidR="00017E3C" w:rsidRPr="008257F0" w:rsidRDefault="00017E3C" w:rsidP="00B72153">
            <w:r>
              <w:t xml:space="preserve">Протез бедра модульного типа с косметической облицовкой, полиуретановая(поролон), косметическая </w:t>
            </w:r>
            <w:proofErr w:type="spellStart"/>
            <w:r>
              <w:t>оболочка,чулки</w:t>
            </w:r>
            <w:proofErr w:type="spellEnd"/>
            <w:r>
              <w:t xml:space="preserve"> </w:t>
            </w:r>
            <w:proofErr w:type="spellStart"/>
            <w:r>
              <w:t>перлоновые</w:t>
            </w:r>
            <w:proofErr w:type="spellEnd"/>
            <w:r>
              <w:t>, ортопедические; приемная гильза индивидуальная,(изготовленная по индивидуальному слепку с культи инвалида),количество приемных гильз 3шт;одна приемная гильза литьевая, слоистая, из акриловых смол и 2 пробные гильзы, листовой термопластичный пластик, с  вкладной гильзы, без гелиевого чехла; гильзовый регулировочно-соединительные устройства на нагрузку соответствующие весу пациента, до 100кг; стопа  модульная с высокой степенью активности; с  одноосным коленным модулем ротационной гидравликой;  поворотное  устройство присутствует; тип протеза по назначению: постоянный.</w:t>
            </w:r>
            <w:r>
              <w:rPr>
                <w:color w:val="000000"/>
                <w:lang w:bidi="ru-RU"/>
              </w:rPr>
              <w:tab/>
            </w:r>
          </w:p>
        </w:tc>
        <w:tc>
          <w:tcPr>
            <w:tcW w:w="993" w:type="dxa"/>
            <w:vAlign w:val="center"/>
          </w:tcPr>
          <w:p w:rsidR="00017E3C" w:rsidRPr="008622D9" w:rsidRDefault="00017E3C" w:rsidP="00B72153">
            <w:pPr>
              <w:jc w:val="center"/>
              <w:rPr>
                <w:b/>
                <w:bCs/>
                <w:sz w:val="22"/>
                <w:szCs w:val="22"/>
              </w:rPr>
            </w:pPr>
            <w:r>
              <w:rPr>
                <w:b/>
                <w:bCs/>
                <w:sz w:val="22"/>
                <w:szCs w:val="22"/>
              </w:rPr>
              <w:t>1</w:t>
            </w:r>
          </w:p>
        </w:tc>
      </w:tr>
      <w:tr w:rsidR="00017E3C" w:rsidRPr="00C63696" w:rsidTr="00B72153">
        <w:trPr>
          <w:trHeight w:val="326"/>
        </w:trPr>
        <w:tc>
          <w:tcPr>
            <w:tcW w:w="16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E3C" w:rsidRDefault="00017E3C" w:rsidP="00B72153">
            <w:pPr>
              <w:jc w:val="center"/>
              <w:rPr>
                <w:rFonts w:eastAsia="Calibri"/>
              </w:rPr>
            </w:pPr>
            <w:r>
              <w:rPr>
                <w:rFonts w:eastAsia="Calibri"/>
                <w:color w:val="000000"/>
              </w:rPr>
              <w:t xml:space="preserve">Протез бедра для купания ПН6-72МС.С (типПН6-ОБ-К) </w:t>
            </w:r>
          </w:p>
        </w:tc>
        <w:tc>
          <w:tcPr>
            <w:tcW w:w="79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7E3C" w:rsidRPr="001F12AF" w:rsidRDefault="00017E3C" w:rsidP="00B72153">
            <w:r w:rsidRPr="001F12AF">
              <w:rPr>
                <w:color w:val="000000"/>
              </w:rPr>
              <w:t>Протез бедра для купания ПН6-72МС.С, (тип ПН6-ОБ-</w:t>
            </w:r>
            <w:proofErr w:type="gramStart"/>
            <w:r w:rsidRPr="001F12AF">
              <w:rPr>
                <w:color w:val="000000"/>
              </w:rPr>
              <w:t>К)</w:t>
            </w:r>
            <w:r w:rsidRPr="001F12AF">
              <w:t>протез</w:t>
            </w:r>
            <w:proofErr w:type="gramEnd"/>
            <w:r w:rsidRPr="001F12AF">
              <w:t xml:space="preserve"> бедра модульный для купания, с несущей приемной гильзой из слоистого пластика на основе </w:t>
            </w:r>
            <w:proofErr w:type="spellStart"/>
            <w:r w:rsidRPr="001F12AF">
              <w:t>ортокриловых</w:t>
            </w:r>
            <w:proofErr w:type="spellEnd"/>
            <w:r w:rsidRPr="001F12AF">
              <w:t xml:space="preserve"> смол. Коленный модуль   облегченный композитный материал влагозащищенный. Стопа </w:t>
            </w:r>
            <w:proofErr w:type="spellStart"/>
            <w:r w:rsidRPr="001F12AF">
              <w:t>бесшарнирная</w:t>
            </w:r>
            <w:proofErr w:type="spellEnd"/>
            <w:r w:rsidRPr="001F12AF">
              <w:t xml:space="preserve"> влагозащищенная с рифленым профилем подошвы. Комплектующие и РСУ- состоят из влагозащищенного материала на нагрузку -125 кг. Косметическая – без косметической облицовки. Крепление- вакуумное, возможно дополнительное крепление с помощью бандажа. Тип протеза по назначению: специальный.</w:t>
            </w:r>
          </w:p>
        </w:tc>
        <w:tc>
          <w:tcPr>
            <w:tcW w:w="993" w:type="dxa"/>
            <w:vAlign w:val="center"/>
          </w:tcPr>
          <w:p w:rsidR="00017E3C" w:rsidRPr="008622D9" w:rsidRDefault="00017E3C" w:rsidP="00B72153">
            <w:pPr>
              <w:jc w:val="center"/>
              <w:rPr>
                <w:b/>
                <w:bCs/>
                <w:sz w:val="22"/>
                <w:szCs w:val="22"/>
              </w:rPr>
            </w:pPr>
            <w:r>
              <w:rPr>
                <w:b/>
                <w:bCs/>
                <w:sz w:val="22"/>
                <w:szCs w:val="22"/>
              </w:rPr>
              <w:t>1</w:t>
            </w:r>
          </w:p>
        </w:tc>
      </w:tr>
      <w:tr w:rsidR="00017E3C" w:rsidRPr="008622D9" w:rsidTr="00B72153">
        <w:trPr>
          <w:cantSplit/>
          <w:trHeight w:val="239"/>
        </w:trPr>
        <w:tc>
          <w:tcPr>
            <w:tcW w:w="1696" w:type="dxa"/>
          </w:tcPr>
          <w:p w:rsidR="00017E3C" w:rsidRPr="008622D9" w:rsidRDefault="00017E3C" w:rsidP="00B72153">
            <w:pPr>
              <w:jc w:val="both"/>
              <w:rPr>
                <w:b/>
                <w:color w:val="000000"/>
              </w:rPr>
            </w:pPr>
          </w:p>
        </w:tc>
        <w:tc>
          <w:tcPr>
            <w:tcW w:w="7938" w:type="dxa"/>
          </w:tcPr>
          <w:p w:rsidR="00017E3C" w:rsidRPr="00977980" w:rsidRDefault="00017E3C" w:rsidP="00B72153">
            <w:pPr>
              <w:tabs>
                <w:tab w:val="left" w:pos="708"/>
              </w:tabs>
              <w:jc w:val="both"/>
              <w:rPr>
                <w:b/>
              </w:rPr>
            </w:pPr>
            <w:r w:rsidRPr="00977980">
              <w:rPr>
                <w:b/>
              </w:rPr>
              <w:t>ИТОГО:</w:t>
            </w:r>
          </w:p>
        </w:tc>
        <w:tc>
          <w:tcPr>
            <w:tcW w:w="993" w:type="dxa"/>
            <w:vAlign w:val="center"/>
          </w:tcPr>
          <w:p w:rsidR="00017E3C" w:rsidRPr="00977980" w:rsidRDefault="00017E3C" w:rsidP="00B72153">
            <w:pPr>
              <w:jc w:val="center"/>
              <w:rPr>
                <w:b/>
              </w:rPr>
            </w:pPr>
            <w:r>
              <w:rPr>
                <w:b/>
              </w:rPr>
              <w:t>2</w:t>
            </w:r>
          </w:p>
        </w:tc>
      </w:tr>
    </w:tbl>
    <w:p w:rsidR="00017E3C" w:rsidRPr="008622D9" w:rsidRDefault="00017E3C" w:rsidP="00017E3C">
      <w:pPr>
        <w:snapToGrid w:val="0"/>
        <w:ind w:left="-426" w:right="-142"/>
        <w:jc w:val="both"/>
        <w:rPr>
          <w:rFonts w:eastAsia="Calibri"/>
          <w:b/>
        </w:rPr>
      </w:pPr>
    </w:p>
    <w:p w:rsidR="00017E3C" w:rsidRPr="008622D9" w:rsidRDefault="00017E3C" w:rsidP="00017E3C">
      <w:pPr>
        <w:snapToGrid w:val="0"/>
        <w:ind w:left="-426" w:right="-142"/>
        <w:jc w:val="both"/>
        <w:rPr>
          <w:rFonts w:eastAsia="Calibri"/>
          <w:b/>
        </w:rPr>
      </w:pPr>
      <w:r w:rsidRPr="008622D9">
        <w:rPr>
          <w:rFonts w:eastAsia="Calibri"/>
          <w:b/>
        </w:rPr>
        <w:t>Требования к выполнению работ, их качеству, безопасности, результатам.</w:t>
      </w:r>
    </w:p>
    <w:p w:rsidR="00017E3C" w:rsidRPr="008622D9" w:rsidRDefault="00017E3C" w:rsidP="00017E3C">
      <w:pPr>
        <w:snapToGrid w:val="0"/>
        <w:ind w:left="-426" w:right="-142"/>
        <w:jc w:val="both"/>
        <w:rPr>
          <w:rFonts w:eastAsia="Calibri"/>
          <w:u w:val="single"/>
        </w:rPr>
      </w:pPr>
      <w:r w:rsidRPr="008622D9">
        <w:rPr>
          <w:rFonts w:eastAsia="Calibri"/>
        </w:rPr>
        <w:t xml:space="preserve">Протезы нижних конечностей должны соответствовать требованиям ГОСТ </w:t>
      </w:r>
      <w:r w:rsidRPr="008622D9">
        <w:rPr>
          <w:rFonts w:eastAsia="Calibri"/>
          <w:lang w:val="en-US"/>
        </w:rPr>
        <w:t>ISO</w:t>
      </w:r>
      <w:r w:rsidRPr="008622D9">
        <w:rPr>
          <w:rFonts w:eastAsia="Calibri"/>
        </w:rPr>
        <w:t xml:space="preserve"> 10993-1-2011, ГОСТ </w:t>
      </w:r>
      <w:r w:rsidRPr="008622D9">
        <w:rPr>
          <w:rFonts w:eastAsia="Calibri"/>
          <w:lang w:val="en-US"/>
        </w:rPr>
        <w:t>ISO</w:t>
      </w:r>
      <w:r w:rsidRPr="008622D9">
        <w:rPr>
          <w:rFonts w:eastAsia="Calibri"/>
        </w:rPr>
        <w:t xml:space="preserve"> 10993-5-2011, ГОСТ </w:t>
      </w:r>
      <w:r w:rsidRPr="008622D9">
        <w:rPr>
          <w:rFonts w:eastAsia="Calibri"/>
          <w:lang w:val="en-US"/>
        </w:rPr>
        <w:t>ISO</w:t>
      </w:r>
      <w:r w:rsidRPr="008622D9">
        <w:rPr>
          <w:rFonts w:eastAsia="Calibri"/>
        </w:rPr>
        <w:t xml:space="preserve"> 10993-10-2011, ГОСТ Р 52770-2016, ГОСТ Р ИСО 22523-2007.</w:t>
      </w:r>
    </w:p>
    <w:p w:rsidR="00017E3C" w:rsidRPr="008622D9" w:rsidRDefault="00017E3C" w:rsidP="00017E3C">
      <w:pPr>
        <w:ind w:left="-426" w:right="-142"/>
        <w:jc w:val="both"/>
        <w:rPr>
          <w:rFonts w:eastAsia="Calibri"/>
        </w:rPr>
      </w:pPr>
      <w:r w:rsidRPr="008622D9">
        <w:rPr>
          <w:rFonts w:eastAsia="Calibri"/>
        </w:rPr>
        <w:t xml:space="preserve">Выполнение работ по изготовлению для застрахованных лиц, получивших повреждение здоровья в результате несчастных случаев на производстве и профессиональных заболеваний протезов нижних конечностей должно содержать комплекс медицинских, технических и социальных мероприятий проводимых с застрахованными лицами, получившими повреждения здоровья в результате несчастных случаев на производстве и профессиональных заболеваний,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Приемная или постоянная гильза протеза изготавливается по индивидуальному параметру застрахованного лица, получившего повреждение здоровья в результате несчастного случая на производстве и профессионального заболевания и предназначается для размещения в нем культи или пораженной конечности. Функциональный узел протеза выполняет заданную </w:t>
      </w:r>
      <w:r w:rsidRPr="008622D9">
        <w:rPr>
          <w:rFonts w:eastAsia="Calibri"/>
        </w:rPr>
        <w:lastRenderedPageBreak/>
        <w:t xml:space="preserve">функцию и имеет конструктивно-технологическую завершенность. </w:t>
      </w:r>
    </w:p>
    <w:p w:rsidR="00017E3C" w:rsidRPr="008622D9" w:rsidRDefault="00017E3C" w:rsidP="00017E3C">
      <w:pPr>
        <w:ind w:left="-426" w:right="-142"/>
        <w:jc w:val="both"/>
        <w:rPr>
          <w:rFonts w:eastAsia="Calibri"/>
        </w:rPr>
      </w:pPr>
      <w:r w:rsidRPr="008622D9">
        <w:rPr>
          <w:rFonts w:eastAsia="Calibri"/>
        </w:rPr>
        <w:t xml:space="preserve">Выполнение работ по изготовлению протезов нижних конечностей для застрахованных лиц, получивших повреждение здоровья в результате несчастных случаев на производстве и профессиональных заболеваний должно осуществляться </w:t>
      </w:r>
      <w:r w:rsidRPr="008622D9">
        <w:rPr>
          <w:rFonts w:eastAsia="Calibri"/>
          <w:u w:val="single"/>
        </w:rPr>
        <w:t xml:space="preserve">при </w:t>
      </w:r>
      <w:proofErr w:type="gramStart"/>
      <w:r w:rsidRPr="008622D9">
        <w:rPr>
          <w:rFonts w:eastAsia="Calibri"/>
          <w:u w:val="single"/>
        </w:rPr>
        <w:t>наличии  сертификатов</w:t>
      </w:r>
      <w:proofErr w:type="gramEnd"/>
      <w:r w:rsidRPr="008622D9">
        <w:rPr>
          <w:rFonts w:eastAsia="Calibri"/>
          <w:u w:val="single"/>
        </w:rPr>
        <w:t xml:space="preserve"> соответствий на изделия или деклараций о соответствии изделий</w:t>
      </w:r>
      <w:r w:rsidRPr="008622D9">
        <w:rPr>
          <w:rFonts w:eastAsia="Calibri"/>
        </w:rPr>
        <w:t>, выданных на имя Участника Закупки.</w:t>
      </w:r>
    </w:p>
    <w:p w:rsidR="00017E3C" w:rsidRPr="008622D9" w:rsidRDefault="00017E3C" w:rsidP="00017E3C">
      <w:pPr>
        <w:snapToGrid w:val="0"/>
        <w:ind w:left="-426" w:right="-142"/>
        <w:jc w:val="both"/>
        <w:rPr>
          <w:rFonts w:eastAsia="Calibri"/>
        </w:rPr>
      </w:pPr>
      <w:r w:rsidRPr="008622D9">
        <w:rPr>
          <w:rFonts w:eastAsia="Calibri"/>
        </w:rPr>
        <w:t xml:space="preserve">Выполнение работ по изготовлению протезов нижних конечностей для застрахованных лиц, получивших повреждение здоровья в результате несчастных случаев на производстве и профессиональных заболеваний должно осуществляться Участником Закупки лично, без привлечения соисполнителя. </w:t>
      </w:r>
    </w:p>
    <w:p w:rsidR="00017E3C" w:rsidRPr="008622D9" w:rsidRDefault="00017E3C" w:rsidP="00017E3C">
      <w:pPr>
        <w:snapToGrid w:val="0"/>
        <w:ind w:left="-426" w:right="-142"/>
        <w:jc w:val="both"/>
        <w:rPr>
          <w:rFonts w:eastAsia="Calibri"/>
        </w:rPr>
      </w:pPr>
      <w:r w:rsidRPr="008622D9">
        <w:rPr>
          <w:rFonts w:eastAsia="Calibri"/>
        </w:rPr>
        <w:t>Работы по обеспечению застрахованных лиц, получивших повреждение здоровья в результате несчастных случаев на производстве и профессиональных заболеваний протезами нижних конечностей следует считать выполненными, если у застрахованного лица, получившего повреждение здоровья в результате несчастного случая на производстве или профессионального заболевания созданы условия для предупреждения развития деформации или благоприятного течения болезни. Работы по изготовлению протезов нижних конечностей для застрахованных лиц, получивших повреждения здоровья в результате несчастных случаев на производстве и профессиональных заболеваний должны быть выполнены с надлежащим качеством и в установленные сроки.</w:t>
      </w:r>
    </w:p>
    <w:p w:rsidR="00017E3C" w:rsidRPr="008622D9" w:rsidRDefault="00017E3C" w:rsidP="00017E3C">
      <w:pPr>
        <w:snapToGrid w:val="0"/>
        <w:ind w:left="-426" w:right="-142"/>
        <w:jc w:val="both"/>
        <w:rPr>
          <w:rFonts w:eastAsia="Calibri"/>
          <w:b/>
        </w:rPr>
      </w:pPr>
      <w:r w:rsidRPr="008622D9">
        <w:rPr>
          <w:rFonts w:eastAsia="Calibri"/>
          <w:b/>
        </w:rPr>
        <w:t xml:space="preserve">                </w:t>
      </w:r>
    </w:p>
    <w:p w:rsidR="00017E3C" w:rsidRPr="008622D9" w:rsidRDefault="00017E3C" w:rsidP="00017E3C">
      <w:pPr>
        <w:snapToGrid w:val="0"/>
        <w:ind w:left="-426" w:right="-142"/>
        <w:jc w:val="both"/>
        <w:rPr>
          <w:rFonts w:eastAsia="Calibri"/>
          <w:b/>
        </w:rPr>
      </w:pPr>
      <w:r w:rsidRPr="008622D9">
        <w:rPr>
          <w:rFonts w:eastAsia="Calibri"/>
          <w:b/>
        </w:rPr>
        <w:t xml:space="preserve">   Требования к гарантийному сроку выполнения работ</w:t>
      </w:r>
    </w:p>
    <w:p w:rsidR="00017E3C" w:rsidRPr="008622D9" w:rsidRDefault="00017E3C" w:rsidP="00017E3C">
      <w:pPr>
        <w:tabs>
          <w:tab w:val="left" w:pos="3960"/>
        </w:tabs>
        <w:snapToGrid w:val="0"/>
        <w:ind w:left="-426" w:right="-142"/>
        <w:jc w:val="both"/>
        <w:rPr>
          <w:rFonts w:eastAsia="Calibri"/>
        </w:rPr>
      </w:pPr>
      <w:r w:rsidRPr="008622D9">
        <w:rPr>
          <w:rFonts w:eastAsia="Calibri"/>
        </w:rPr>
        <w:t xml:space="preserve">На протезы нижних конечностей устанавливается срок предоставления гарантии качества, в течение которого Исполнитель должен производить замену или ремонт изделий бесплатно. Гарантия качества распространяется на все составляющие изделия (результата работ). Срок предоставления гарантии качества выполнения работ по изготовлению протезов нижних конечностей должен составлять не менее 12 (Двенадцать) месяцев со дня выдачи </w:t>
      </w:r>
      <w:proofErr w:type="gramStart"/>
      <w:r w:rsidRPr="008622D9">
        <w:rPr>
          <w:rFonts w:eastAsia="Calibri"/>
        </w:rPr>
        <w:t>готового изделия</w:t>
      </w:r>
      <w:proofErr w:type="gramEnd"/>
      <w:r w:rsidRPr="008622D9">
        <w:rPr>
          <w:rFonts w:eastAsia="Calibri"/>
        </w:rPr>
        <w:t xml:space="preserve"> застрахованного лицу, получившему повреждение здоровья в результате несчастного случая на производстве и профессионального заболевания.</w:t>
      </w:r>
    </w:p>
    <w:p w:rsidR="00017E3C" w:rsidRPr="008622D9" w:rsidRDefault="00017E3C" w:rsidP="00017E3C">
      <w:pPr>
        <w:ind w:left="-426" w:right="-142"/>
        <w:jc w:val="both"/>
      </w:pPr>
      <w:r w:rsidRPr="008622D9">
        <w:t xml:space="preserve">Срок службы изготовленных протезов голени модульных должен составлять не менее 2 (Двух) лет,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w:t>
      </w:r>
      <w:r w:rsidRPr="008622D9">
        <w:rPr>
          <w:rFonts w:eastAsia="Calibri"/>
        </w:rPr>
        <w:t>Приказом Министерства труда и социальной защиты Российской Федерации от 13 февраля 2018 г. №85н «Об утверждении сроков пользования техническими средствами реабилитации, протезами и протезно-ортопедическими изделиями до их замены»)</w:t>
      </w:r>
      <w:r w:rsidRPr="008622D9">
        <w:t>.</w:t>
      </w:r>
    </w:p>
    <w:p w:rsidR="00017E3C" w:rsidRPr="008622D9" w:rsidRDefault="00017E3C" w:rsidP="00017E3C">
      <w:pPr>
        <w:ind w:left="-426" w:right="-142"/>
        <w:jc w:val="both"/>
      </w:pPr>
      <w:r w:rsidRPr="008622D9">
        <w:rPr>
          <w:rFonts w:ascii="Arial" w:eastAsia="Arial Unicode MS" w:hAnsi="Arial" w:cs="Arial"/>
        </w:rPr>
        <w:t xml:space="preserve">           </w:t>
      </w:r>
      <w:r w:rsidRPr="008622D9">
        <w:t>Срок дополнительной гарантии качества технических средств реабилитации не должен превышать срока службы технического средства реабилитации.</w:t>
      </w:r>
    </w:p>
    <w:p w:rsidR="001247F4" w:rsidRDefault="001247F4"/>
    <w:sectPr w:rsidR="00124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14473"/>
    <w:multiLevelType w:val="hybridMultilevel"/>
    <w:tmpl w:val="0A9EA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D2"/>
    <w:rsid w:val="00017E3C"/>
    <w:rsid w:val="001247F4"/>
    <w:rsid w:val="008E4FD2"/>
    <w:rsid w:val="009F3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78040-62DE-42FC-B804-B601C5FF3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E3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2"/>
    <w:rsid w:val="00017E3C"/>
    <w:pPr>
      <w:numPr>
        <w:ilvl w:val="2"/>
        <w:numId w:val="1"/>
      </w:numPr>
      <w:tabs>
        <w:tab w:val="clear" w:pos="2160"/>
        <w:tab w:val="num" w:pos="0"/>
        <w:tab w:val="num" w:pos="360"/>
      </w:tabs>
      <w:autoSpaceDE/>
      <w:autoSpaceDN/>
      <w:spacing w:after="0" w:line="240" w:lineRule="auto"/>
      <w:ind w:left="0" w:hanging="360"/>
      <w:jc w:val="both"/>
      <w:textAlignment w:val="baseline"/>
    </w:pPr>
  </w:style>
  <w:style w:type="paragraph" w:styleId="2">
    <w:name w:val="Body Text Indent 2"/>
    <w:basedOn w:val="a"/>
    <w:link w:val="20"/>
    <w:uiPriority w:val="99"/>
    <w:semiHidden/>
    <w:unhideWhenUsed/>
    <w:rsid w:val="00017E3C"/>
    <w:pPr>
      <w:spacing w:after="120" w:line="480" w:lineRule="auto"/>
      <w:ind w:left="283"/>
    </w:pPr>
  </w:style>
  <w:style w:type="character" w:customStyle="1" w:styleId="20">
    <w:name w:val="Основной текст с отступом 2 Знак"/>
    <w:basedOn w:val="a0"/>
    <w:link w:val="2"/>
    <w:uiPriority w:val="99"/>
    <w:semiHidden/>
    <w:rsid w:val="00017E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Могушков Заурбек Якубович</dc:creator>
  <cp:keywords/>
  <dc:description/>
  <cp:lastModifiedBy>Могушков Заурбек Якубович</cp:lastModifiedBy>
  <cp:revision>3</cp:revision>
  <dcterms:created xsi:type="dcterms:W3CDTF">2021-04-16T06:58:00Z</dcterms:created>
  <dcterms:modified xsi:type="dcterms:W3CDTF">2021-04-16T07:14:00Z</dcterms:modified>
</cp:coreProperties>
</file>