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CA" w:rsidRPr="00B70587" w:rsidRDefault="008F13CA" w:rsidP="008F13CA">
      <w:pPr>
        <w:pStyle w:val="Style7"/>
        <w:widowControl/>
        <w:spacing w:before="67"/>
        <w:jc w:val="center"/>
        <w:rPr>
          <w:b/>
          <w:bCs/>
          <w:sz w:val="26"/>
          <w:szCs w:val="26"/>
        </w:rPr>
      </w:pPr>
      <w:r>
        <w:rPr>
          <w:rStyle w:val="FontStyle63"/>
          <w:bCs/>
          <w:szCs w:val="26"/>
        </w:rPr>
        <w:t>Раздел</w:t>
      </w:r>
      <w:r w:rsidRPr="00B54F07">
        <w:rPr>
          <w:rStyle w:val="FontStyle63"/>
          <w:bCs/>
          <w:szCs w:val="26"/>
        </w:rPr>
        <w:t xml:space="preserve"> </w:t>
      </w:r>
      <w:r>
        <w:rPr>
          <w:rStyle w:val="FontStyle63"/>
          <w:bCs/>
          <w:szCs w:val="26"/>
          <w:lang w:val="en-US"/>
        </w:rPr>
        <w:t>III</w:t>
      </w:r>
      <w:r w:rsidRPr="00B54F07">
        <w:rPr>
          <w:rStyle w:val="FontStyle63"/>
          <w:bCs/>
          <w:szCs w:val="26"/>
        </w:rPr>
        <w:t>.</w:t>
      </w:r>
      <w:r>
        <w:rPr>
          <w:rStyle w:val="FontStyle63"/>
          <w:bCs/>
          <w:szCs w:val="26"/>
        </w:rPr>
        <w:t xml:space="preserve"> Описание объекта закупки</w:t>
      </w:r>
    </w:p>
    <w:p w:rsidR="008F13CA" w:rsidRPr="00D72EDA" w:rsidRDefault="008F13CA" w:rsidP="008F13CA">
      <w:pPr>
        <w:widowControl/>
        <w:tabs>
          <w:tab w:val="left" w:pos="0"/>
        </w:tabs>
        <w:spacing w:after="120"/>
        <w:ind w:left="283"/>
        <w:rPr>
          <w:sz w:val="22"/>
          <w:szCs w:val="22"/>
          <w:u w:val="single"/>
        </w:rPr>
      </w:pPr>
      <w:r w:rsidRPr="00D72EDA">
        <w:rPr>
          <w:sz w:val="22"/>
          <w:szCs w:val="22"/>
        </w:rPr>
        <w:t xml:space="preserve">Наименование объекта закупки: </w:t>
      </w:r>
      <w:r w:rsidR="000D74EB" w:rsidRPr="00CB3EA3">
        <w:rPr>
          <w:sz w:val="22"/>
          <w:szCs w:val="22"/>
          <w:u w:val="single"/>
        </w:rPr>
        <w:t>Изготовление протезно-ортопедических изделий (</w:t>
      </w:r>
      <w:r w:rsidR="000D74EB">
        <w:rPr>
          <w:sz w:val="22"/>
          <w:szCs w:val="22"/>
          <w:u w:val="single"/>
        </w:rPr>
        <w:t>протез</w:t>
      </w:r>
      <w:r w:rsidR="000D74EB" w:rsidRPr="00CB3EA3">
        <w:rPr>
          <w:sz w:val="22"/>
          <w:szCs w:val="22"/>
          <w:u w:val="single"/>
        </w:rPr>
        <w:t xml:space="preserve"> </w:t>
      </w:r>
      <w:proofErr w:type="gramStart"/>
      <w:r w:rsidR="000D74EB" w:rsidRPr="00CB3EA3">
        <w:rPr>
          <w:sz w:val="22"/>
          <w:szCs w:val="22"/>
          <w:u w:val="single"/>
        </w:rPr>
        <w:t>бедра  модульный</w:t>
      </w:r>
      <w:proofErr w:type="gramEnd"/>
      <w:r w:rsidR="000D74EB" w:rsidRPr="00CB3EA3">
        <w:rPr>
          <w:sz w:val="22"/>
          <w:szCs w:val="22"/>
          <w:u w:val="single"/>
        </w:rPr>
        <w:t xml:space="preserve">, в том числе при врожденном недоразвитии, </w:t>
      </w:r>
      <w:r w:rsidR="000D74EB" w:rsidRPr="001E01A0">
        <w:rPr>
          <w:sz w:val="22"/>
          <w:szCs w:val="22"/>
          <w:u w:val="single"/>
        </w:rPr>
        <w:t>протез голени</w:t>
      </w:r>
      <w:r w:rsidR="000D74EB">
        <w:rPr>
          <w:sz w:val="22"/>
          <w:szCs w:val="22"/>
          <w:u w:val="single"/>
        </w:rPr>
        <w:t xml:space="preserve"> </w:t>
      </w:r>
      <w:r w:rsidR="000D74EB" w:rsidRPr="00CB3EA3">
        <w:rPr>
          <w:sz w:val="22"/>
          <w:szCs w:val="22"/>
          <w:u w:val="single"/>
        </w:rPr>
        <w:t>, в том числе при врожденном недоразвитии</w:t>
      </w:r>
      <w:r w:rsidR="000D74EB">
        <w:rPr>
          <w:sz w:val="22"/>
          <w:szCs w:val="22"/>
          <w:u w:val="single"/>
        </w:rPr>
        <w:t>, протез стопы</w:t>
      </w:r>
      <w:r w:rsidR="000D74EB" w:rsidRPr="00CB3EA3">
        <w:rPr>
          <w:sz w:val="22"/>
          <w:szCs w:val="22"/>
          <w:u w:val="single"/>
        </w:rPr>
        <w:t>) для обеспечения инвалидов в 202</w:t>
      </w:r>
      <w:r w:rsidR="000D74EB">
        <w:rPr>
          <w:sz w:val="22"/>
          <w:szCs w:val="22"/>
          <w:u w:val="single"/>
        </w:rPr>
        <w:t>1</w:t>
      </w:r>
      <w:r w:rsidR="000D74EB" w:rsidRPr="00CB3EA3">
        <w:rPr>
          <w:sz w:val="22"/>
          <w:szCs w:val="22"/>
          <w:u w:val="single"/>
        </w:rPr>
        <w:t>г.</w:t>
      </w:r>
      <w:bookmarkStart w:id="0" w:name="_GoBack"/>
      <w:bookmarkEnd w:id="0"/>
      <w:r w:rsidRPr="00CB3EA3">
        <w:rPr>
          <w:sz w:val="22"/>
          <w:szCs w:val="22"/>
          <w:u w:val="single"/>
        </w:rPr>
        <w:t>.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968"/>
        <w:gridCol w:w="1388"/>
      </w:tblGrid>
      <w:tr w:rsidR="008F13CA" w:rsidRPr="00114A15" w:rsidTr="00251BBB">
        <w:trPr>
          <w:trHeight w:val="681"/>
        </w:trPr>
        <w:tc>
          <w:tcPr>
            <w:tcW w:w="11199" w:type="dxa"/>
            <w:gridSpan w:val="4"/>
            <w:tcBorders>
              <w:top w:val="nil"/>
              <w:right w:val="nil"/>
            </w:tcBorders>
          </w:tcPr>
          <w:p w:rsidR="008F13CA" w:rsidRPr="00114A15" w:rsidRDefault="008F13CA" w:rsidP="00251BB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114A15">
              <w:rPr>
                <w:b/>
                <w:color w:val="000000"/>
              </w:rPr>
              <w:t>ТЕХНИЧЕСКОЕ ЗАДАНИЕ</w:t>
            </w:r>
          </w:p>
        </w:tc>
      </w:tr>
      <w:tr w:rsidR="008F13CA" w:rsidRPr="00114A15" w:rsidTr="00251BBB">
        <w:trPr>
          <w:trHeight w:val="681"/>
        </w:trPr>
        <w:tc>
          <w:tcPr>
            <w:tcW w:w="567" w:type="dxa"/>
          </w:tcPr>
          <w:p w:rsidR="008F13CA" w:rsidRPr="00114A15" w:rsidRDefault="008F13CA" w:rsidP="00251BBB">
            <w:pPr>
              <w:keepNext/>
              <w:snapToGrid w:val="0"/>
              <w:jc w:val="both"/>
              <w:rPr>
                <w:sz w:val="20"/>
                <w:szCs w:val="20"/>
              </w:rPr>
            </w:pPr>
          </w:p>
          <w:p w:rsidR="008F13CA" w:rsidRPr="00114A15" w:rsidRDefault="008F13CA" w:rsidP="00251BB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8F13CA" w:rsidRPr="00114A15" w:rsidRDefault="008F13CA" w:rsidP="00251BB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68" w:type="dxa"/>
          </w:tcPr>
          <w:p w:rsidR="008F13CA" w:rsidRPr="00114A15" w:rsidRDefault="008F13CA" w:rsidP="00251BBB">
            <w:pPr>
              <w:keepNext/>
              <w:jc w:val="center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Технические характеристики</w:t>
            </w:r>
          </w:p>
          <w:p w:rsidR="008F13CA" w:rsidRPr="00114A15" w:rsidRDefault="008F13CA" w:rsidP="00251BB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закупаемого товара.</w:t>
            </w:r>
          </w:p>
        </w:tc>
        <w:tc>
          <w:tcPr>
            <w:tcW w:w="1388" w:type="dxa"/>
          </w:tcPr>
          <w:p w:rsidR="008F13CA" w:rsidRDefault="008F13CA" w:rsidP="0025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F13CA" w:rsidRPr="00114A15" w:rsidRDefault="008F13CA" w:rsidP="00251BBB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13CA" w:rsidRPr="00114A15" w:rsidTr="00251BBB">
        <w:trPr>
          <w:trHeight w:val="1719"/>
        </w:trPr>
        <w:tc>
          <w:tcPr>
            <w:tcW w:w="567" w:type="dxa"/>
          </w:tcPr>
          <w:p w:rsidR="008F13CA" w:rsidRPr="00114A15" w:rsidRDefault="008F13CA" w:rsidP="008F13CA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CA" w:rsidRPr="003F7B1C" w:rsidRDefault="008F13CA" w:rsidP="00251BBB">
            <w:pPr>
              <w:keepNext/>
              <w:ind w:left="-37" w:right="-22"/>
            </w:pPr>
            <w:r w:rsidRPr="003F7B1C">
              <w:t>Протез</w:t>
            </w:r>
          </w:p>
          <w:p w:rsidR="008F13CA" w:rsidRPr="004D6F7B" w:rsidRDefault="008F13CA" w:rsidP="00251BBB">
            <w:pPr>
              <w:spacing w:before="60" w:after="300" w:line="210" w:lineRule="exact"/>
            </w:pPr>
            <w:r>
              <w:t xml:space="preserve">Голени </w:t>
            </w:r>
            <w:r w:rsidRPr="003F7B1C">
              <w:t xml:space="preserve">модульного типа, в том числе при врожденном недоразвитии 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CA" w:rsidRPr="004D6F7B" w:rsidRDefault="008F13CA" w:rsidP="00251BBB">
            <w:pPr>
              <w:ind w:left="-82" w:right="-104"/>
              <w:rPr>
                <w:color w:val="000000"/>
              </w:rPr>
            </w:pPr>
            <w:r w:rsidRPr="003F7B1C">
              <w:rPr>
                <w:color w:val="000000"/>
              </w:rPr>
              <w:t>Протез голени   модульного типа , косметическая облицовка полиуретановая(поролон), покрытие облицовки чулки косметические ортопедические; приемная гильза индивидуального изготовления по индивидуальному слепку с культи инвалида; количество  приемных   гильз : 3 шт., одна постоянная гильза из слоистого пластика на основе акриловых смол;  и 2 пробные  гильзы, листовой  термопластичный пластик ,без вкладной гильзы, чехол полимерный гелиевый с высоким  уровнем стабилизации; крепления протеза голени на инвалиде с использованием замка для полимерных чехлов; регулировочно-соединительное устройство  на нагрузку до 125 кг; стопа C-</w:t>
            </w:r>
            <w:proofErr w:type="spellStart"/>
            <w:r w:rsidRPr="003F7B1C">
              <w:rPr>
                <w:color w:val="000000"/>
              </w:rPr>
              <w:t>Walk</w:t>
            </w:r>
            <w:proofErr w:type="spellEnd"/>
            <w:r w:rsidRPr="003F7B1C">
              <w:rPr>
                <w:color w:val="000000"/>
              </w:rPr>
              <w:t xml:space="preserve"> модульная c  с высоким уровнем активности :  постоянный. 1 ШТ</w:t>
            </w:r>
          </w:p>
        </w:tc>
        <w:tc>
          <w:tcPr>
            <w:tcW w:w="1388" w:type="dxa"/>
          </w:tcPr>
          <w:p w:rsidR="008F13CA" w:rsidRPr="00D85C30" w:rsidRDefault="008F13CA" w:rsidP="00251BB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F13CA" w:rsidRPr="00114A15" w:rsidTr="00251BBB">
        <w:trPr>
          <w:trHeight w:val="1719"/>
        </w:trPr>
        <w:tc>
          <w:tcPr>
            <w:tcW w:w="567" w:type="dxa"/>
          </w:tcPr>
          <w:p w:rsidR="008F13CA" w:rsidRPr="00114A15" w:rsidRDefault="008F13CA" w:rsidP="008F13CA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13CA" w:rsidRPr="003F7B1C" w:rsidRDefault="008F13CA" w:rsidP="00251BBB">
            <w:pPr>
              <w:keepNext/>
              <w:ind w:left="-37" w:right="-22"/>
            </w:pPr>
            <w:r w:rsidRPr="003F7B1C">
              <w:t>Протез</w:t>
            </w:r>
          </w:p>
          <w:p w:rsidR="008F13CA" w:rsidRDefault="008F13CA" w:rsidP="00251BBB">
            <w:pPr>
              <w:spacing w:before="300" w:line="210" w:lineRule="exact"/>
              <w:rPr>
                <w:color w:val="000000"/>
                <w:lang w:bidi="ru-RU"/>
              </w:rPr>
            </w:pPr>
            <w:r w:rsidRPr="003F7B1C">
              <w:t>Бедра модульного типа, в том числе при врожденном недоразвитии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3CA" w:rsidRPr="003F7B1C" w:rsidRDefault="008F13CA" w:rsidP="00251BBB">
            <w:r>
              <w:t xml:space="preserve">. </w:t>
            </w:r>
            <w:r w:rsidRPr="003F7B1C">
              <w:t xml:space="preserve">Протез бедра модульного типа с косметической облицовкой ,полиуретановая(поролон),Косметическая </w:t>
            </w:r>
            <w:proofErr w:type="spellStart"/>
            <w:r w:rsidRPr="003F7B1C">
              <w:t>оболочка,чулки</w:t>
            </w:r>
            <w:proofErr w:type="spellEnd"/>
            <w:r w:rsidRPr="003F7B1C">
              <w:t xml:space="preserve"> </w:t>
            </w:r>
            <w:proofErr w:type="spellStart"/>
            <w:r w:rsidRPr="003F7B1C">
              <w:t>перлоновые,ортопедические;приемная</w:t>
            </w:r>
            <w:proofErr w:type="spellEnd"/>
            <w:r w:rsidRPr="003F7B1C">
              <w:t xml:space="preserve"> гильза индивидуальная,(изготовленная по индивидуальному слепку с культи инвалида),количество приемных гильз 3шт;одна приемная гильза </w:t>
            </w:r>
            <w:proofErr w:type="spellStart"/>
            <w:r w:rsidRPr="003F7B1C">
              <w:t>литьевая,слоистая,из</w:t>
            </w:r>
            <w:proofErr w:type="spellEnd"/>
            <w:r w:rsidRPr="003F7B1C">
              <w:t xml:space="preserve"> акриловых смол и 2 пробные </w:t>
            </w:r>
            <w:proofErr w:type="spellStart"/>
            <w:r w:rsidRPr="003F7B1C">
              <w:t>гильзы,листовой</w:t>
            </w:r>
            <w:proofErr w:type="spellEnd"/>
            <w:r w:rsidRPr="003F7B1C">
              <w:t xml:space="preserve"> термопластичный пластик, с  вкладной гильзы, с гелиевым чехлом; гильзовый регулировочно-соединительные устройства на нагрузку соответствующие весу пациента, до 125кг; стопа  модульная с высокой степенью активности; с  одноосным коленным модулем ротационной гидравликой;  поворотное  устройство присутствует; тип протеза по назначению: постоянный.</w:t>
            </w:r>
          </w:p>
        </w:tc>
        <w:tc>
          <w:tcPr>
            <w:tcW w:w="1388" w:type="dxa"/>
          </w:tcPr>
          <w:p w:rsidR="008F13CA" w:rsidRDefault="008F13CA" w:rsidP="00251BB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8F13CA" w:rsidRPr="00114A15" w:rsidTr="00251BBB">
        <w:trPr>
          <w:trHeight w:val="1719"/>
        </w:trPr>
        <w:tc>
          <w:tcPr>
            <w:tcW w:w="567" w:type="dxa"/>
          </w:tcPr>
          <w:p w:rsidR="008F13CA" w:rsidRPr="00114A15" w:rsidRDefault="008F13CA" w:rsidP="008F13CA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3CA" w:rsidRDefault="008F13CA" w:rsidP="00251BBB">
            <w:pPr>
              <w:spacing w:after="60" w:line="21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Протез</w:t>
            </w:r>
          </w:p>
          <w:p w:rsidR="008F13CA" w:rsidRPr="007636FB" w:rsidRDefault="008F13CA" w:rsidP="00251BBB">
            <w:pPr>
              <w:spacing w:before="60" w:after="300" w:line="210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стопы</w:t>
            </w:r>
          </w:p>
        </w:tc>
        <w:tc>
          <w:tcPr>
            <w:tcW w:w="7968" w:type="dxa"/>
            <w:vAlign w:val="center"/>
          </w:tcPr>
          <w:p w:rsidR="008F13CA" w:rsidRDefault="008F13CA" w:rsidP="00251BBB">
            <w:r>
              <w:t xml:space="preserve">Протез стопы для инвалидов весом не более 100 кг. Приемная гильза: индивидуальная. Материал приемной гильзы: литьевой слоистый пластик на основе акриловых смол. Вкладная гильза: из вспененных материалов. Крепление протеза: за счет формы приемной гильзы. Стопа: полиуретановая монолитная для протезов при ампутации по </w:t>
            </w:r>
            <w:proofErr w:type="spellStart"/>
            <w:r>
              <w:t>Шопару.Срок</w:t>
            </w:r>
            <w:proofErr w:type="spellEnd"/>
            <w:r>
              <w:t xml:space="preserve"> службы не менее 2-х лет. </w:t>
            </w:r>
          </w:p>
        </w:tc>
        <w:tc>
          <w:tcPr>
            <w:tcW w:w="1388" w:type="dxa"/>
          </w:tcPr>
          <w:p w:rsidR="008F13CA" w:rsidRDefault="008F13CA" w:rsidP="00251BB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8F13CA" w:rsidRDefault="008F13CA" w:rsidP="008F13CA">
      <w:pPr>
        <w:pStyle w:val="Style8"/>
        <w:widowControl/>
        <w:spacing w:before="53" w:line="245" w:lineRule="exact"/>
        <w:rPr>
          <w:rStyle w:val="FontStyle64"/>
          <w:szCs w:val="22"/>
        </w:rPr>
      </w:pPr>
    </w:p>
    <w:p w:rsidR="008F13CA" w:rsidRDefault="008F13CA" w:rsidP="008F13CA">
      <w:pPr>
        <w:pStyle w:val="Style8"/>
        <w:widowControl/>
        <w:spacing w:before="53" w:line="245" w:lineRule="exact"/>
        <w:rPr>
          <w:rStyle w:val="FontStyle64"/>
          <w:szCs w:val="22"/>
        </w:rPr>
      </w:pPr>
    </w:p>
    <w:p w:rsidR="008F13CA" w:rsidRPr="00844EF8" w:rsidRDefault="008F13CA" w:rsidP="008F13CA">
      <w:pPr>
        <w:keepNext/>
        <w:spacing w:after="120"/>
        <w:ind w:firstLine="567"/>
        <w:jc w:val="center"/>
        <w:rPr>
          <w:b/>
        </w:rPr>
      </w:pPr>
      <w:r w:rsidRPr="00844EF8">
        <w:rPr>
          <w:b/>
        </w:rPr>
        <w:lastRenderedPageBreak/>
        <w:t>Требования к техническим, функциональным и качественным характе</w:t>
      </w:r>
      <w:r>
        <w:rPr>
          <w:b/>
        </w:rPr>
        <w:t>ристикам по обеспечению инвалидов изделиями.</w:t>
      </w:r>
    </w:p>
    <w:p w:rsidR="008F13CA" w:rsidRPr="00844EF8" w:rsidRDefault="008F13CA" w:rsidP="008F13CA">
      <w:pPr>
        <w:keepNext/>
        <w:spacing w:after="120"/>
        <w:ind w:firstLine="567"/>
        <w:jc w:val="both"/>
      </w:pPr>
      <w:r w:rsidRPr="00844EF8"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Классификация и терминология» (06 18 Протезы </w:t>
      </w:r>
      <w:r>
        <w:t>нижних</w:t>
      </w:r>
      <w:r w:rsidRPr="00844EF8">
        <w:t xml:space="preserve"> конечностей, </w:t>
      </w:r>
      <w:bookmarkStart w:id="1" w:name="sub_53303"/>
      <w:r w:rsidRPr="00844EF8">
        <w:t>05 33 03</w:t>
      </w:r>
      <w:bookmarkEnd w:id="1"/>
      <w:r w:rsidRPr="00844EF8">
        <w:t xml:space="preserve"> Вспомогательные средства обучения умению пользоваться </w:t>
      </w:r>
      <w:proofErr w:type="spellStart"/>
      <w:r w:rsidRPr="00844EF8">
        <w:t>ортезом</w:t>
      </w:r>
      <w:proofErr w:type="spellEnd"/>
      <w:r w:rsidRPr="00844EF8">
        <w:t xml:space="preserve"> и протезом).</w:t>
      </w:r>
    </w:p>
    <w:p w:rsidR="008F13CA" w:rsidRPr="00844EF8" w:rsidRDefault="008F13CA" w:rsidP="008F13CA">
      <w:pPr>
        <w:keepNext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Протез</w:t>
      </w:r>
      <w:r>
        <w:rPr>
          <w:b/>
          <w:i/>
        </w:rPr>
        <w:t>ы нижних конечностей должны</w:t>
      </w:r>
      <w:r w:rsidRPr="00844EF8">
        <w:rPr>
          <w:b/>
          <w:i/>
        </w:rPr>
        <w:t xml:space="preserve"> соответствовать требованиям: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исследования», 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844EF8">
        <w:t>цитотоксичность</w:t>
      </w:r>
      <w:proofErr w:type="spellEnd"/>
      <w:r w:rsidRPr="00844EF8">
        <w:t xml:space="preserve">: методы </w:t>
      </w:r>
      <w:proofErr w:type="spellStart"/>
      <w:r w:rsidRPr="00844EF8">
        <w:t>in</w:t>
      </w:r>
      <w:proofErr w:type="spellEnd"/>
      <w:r w:rsidRPr="00844EF8">
        <w:t xml:space="preserve"> </w:t>
      </w:r>
      <w:proofErr w:type="spellStart"/>
      <w:r w:rsidRPr="00844EF8">
        <w:t>vitro</w:t>
      </w:r>
      <w:proofErr w:type="spellEnd"/>
      <w:r w:rsidRPr="00844EF8">
        <w:t>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  <w:r w:rsidRPr="00844EF8">
        <w:t>Национального стандарта Российской Федерации</w:t>
      </w:r>
      <w:r w:rsidRPr="00844EF8">
        <w:rPr>
          <w:bCs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22523-2007 «Протезы конечностей и </w:t>
      </w:r>
      <w:proofErr w:type="spellStart"/>
      <w:r w:rsidRPr="00844EF8">
        <w:t>ортезы</w:t>
      </w:r>
      <w:proofErr w:type="spellEnd"/>
      <w:r w:rsidRPr="00844EF8">
        <w:t xml:space="preserve"> наружные. Требования и методы испытаний»;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844EF8">
        <w:rPr>
          <w:bCs/>
        </w:rPr>
        <w:t>ортезам</w:t>
      </w:r>
      <w:proofErr w:type="spellEnd"/>
      <w:r w:rsidRPr="00844EF8">
        <w:rPr>
          <w:bCs/>
        </w:rPr>
        <w:t>».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 </w:t>
      </w:r>
      <w:r>
        <w:rPr>
          <w:bCs/>
        </w:rPr>
        <w:t>нижних</w:t>
      </w:r>
      <w:r w:rsidRPr="00844EF8">
        <w:rPr>
          <w:bCs/>
        </w:rPr>
        <w:t xml:space="preserve"> и нижних конечностей. Термины и определения»;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56138-2014 «Протезы </w:t>
      </w:r>
      <w:r>
        <w:t>нижних</w:t>
      </w:r>
      <w:r w:rsidRPr="00844EF8">
        <w:t xml:space="preserve"> конечностей. Технические требования»;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52114-2009 «Узлы механических протезов </w:t>
      </w:r>
      <w:r>
        <w:t>нижних</w:t>
      </w:r>
      <w:r w:rsidRPr="00844EF8">
        <w:t xml:space="preserve"> конечностей. Технические требования и методы испытаний»;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</w:p>
    <w:p w:rsidR="008F13CA" w:rsidRPr="00844EF8" w:rsidRDefault="008F13CA" w:rsidP="008F13CA">
      <w:pPr>
        <w:keepNext/>
        <w:keepLines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Выполнение работ должно осущес</w:t>
      </w:r>
      <w:r>
        <w:rPr>
          <w:b/>
          <w:i/>
        </w:rPr>
        <w:t>твляться при наличии действующих деклараций о соответствии на изделия и соответствовать требованиям: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lastRenderedPageBreak/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</w:p>
    <w:p w:rsidR="008F13CA" w:rsidRDefault="008F13CA" w:rsidP="008F13CA">
      <w:pPr>
        <w:keepNext/>
        <w:keepLines/>
        <w:ind w:firstLine="567"/>
        <w:contextualSpacing/>
        <w:jc w:val="both"/>
      </w:pPr>
      <w:r w:rsidRPr="00420A9C">
        <w:t xml:space="preserve">В комплект </w:t>
      </w:r>
      <w:proofErr w:type="gramStart"/>
      <w:r w:rsidRPr="00420A9C">
        <w:t>протеза  должны</w:t>
      </w:r>
      <w:proofErr w:type="gramEnd"/>
      <w:r w:rsidRPr="00420A9C">
        <w:t xml:space="preserve"> входить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8F13CA" w:rsidRDefault="008F13CA" w:rsidP="008F13CA">
      <w:pPr>
        <w:keepNext/>
        <w:keepLines/>
        <w:ind w:firstLine="567"/>
        <w:contextualSpacing/>
        <w:jc w:val="both"/>
      </w:pPr>
      <w:r w:rsidRPr="00334A29">
        <w:rPr>
          <w:b/>
        </w:rPr>
        <w:t>Место выполнение работ</w:t>
      </w:r>
      <w:r>
        <w:t>: По месту нахождения инвалида в пределах Республики Ингушетия или по согласованию с инвалидом.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334A29">
        <w:rPr>
          <w:b/>
        </w:rPr>
        <w:t>Срок выполнение работ:</w:t>
      </w:r>
      <w:r>
        <w:t xml:space="preserve"> В течение 30 календарных дней с момента обращения инвалида.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rPr>
          <w:b/>
        </w:rPr>
        <w:t>Гарантийный срок</w:t>
      </w:r>
      <w:r w:rsidRPr="00844EF8">
        <w:t xml:space="preserve"> с момента подписания Акта сдачи – приемки работ:</w:t>
      </w:r>
    </w:p>
    <w:p w:rsidR="008F13CA" w:rsidRDefault="008F13CA" w:rsidP="008F13CA">
      <w:pPr>
        <w:keepNext/>
        <w:keepLines/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  <w:jc w:val="both"/>
      </w:pPr>
      <w:r>
        <w:t>Протез голени– не менее 12 месяцев;</w:t>
      </w:r>
    </w:p>
    <w:p w:rsidR="008F13CA" w:rsidRDefault="008F13CA" w:rsidP="008F13CA">
      <w:pPr>
        <w:keepNext/>
        <w:keepLines/>
        <w:ind w:left="567"/>
        <w:contextualSpacing/>
        <w:jc w:val="both"/>
      </w:pPr>
      <w:r w:rsidRPr="00A95B3C">
        <w:t>ГОСТ</w:t>
      </w:r>
      <w:r>
        <w:t>ами гарантийные сроки на протезы конечностей</w:t>
      </w:r>
      <w:r w:rsidRPr="00A95B3C">
        <w:t xml:space="preserve"> не установлены</w:t>
      </w:r>
      <w:r>
        <w:t>.</w:t>
      </w:r>
    </w:p>
    <w:p w:rsidR="008F13CA" w:rsidRPr="00A95B3C" w:rsidRDefault="008F13CA" w:rsidP="008F13CA">
      <w:pPr>
        <w:keepNext/>
        <w:keepLines/>
        <w:ind w:left="567"/>
        <w:contextualSpacing/>
        <w:jc w:val="both"/>
      </w:pP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В период гарантийного срока ремонт осуществляется бесплатно, гарантия должна распространяться на все составляющие изделия.</w:t>
      </w:r>
    </w:p>
    <w:p w:rsidR="008F13CA" w:rsidRDefault="008F13CA" w:rsidP="008F13CA">
      <w:pPr>
        <w:keepNext/>
        <w:keepLines/>
        <w:ind w:firstLine="567"/>
        <w:contextualSpacing/>
        <w:jc w:val="both"/>
      </w:pPr>
      <w:r w:rsidRPr="00844EF8">
        <w:rPr>
          <w:b/>
        </w:rPr>
        <w:t>Срок службы изделия указать при подаче заявки.</w:t>
      </w:r>
      <w:r w:rsidRPr="00844EF8">
        <w:t xml:space="preserve"> (Срок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13.02.2018 № 85н.).</w:t>
      </w:r>
    </w:p>
    <w:p w:rsidR="008F13CA" w:rsidRDefault="008F13CA" w:rsidP="008F13CA">
      <w:pPr>
        <w:pStyle w:val="Style8"/>
        <w:widowControl/>
        <w:spacing w:before="53" w:line="245" w:lineRule="exact"/>
        <w:rPr>
          <w:rStyle w:val="FontStyle64"/>
          <w:szCs w:val="22"/>
        </w:rPr>
      </w:pPr>
    </w:p>
    <w:p w:rsidR="00817217" w:rsidRPr="00D72EDA" w:rsidRDefault="00817217" w:rsidP="00817217">
      <w:pPr>
        <w:widowControl/>
        <w:tabs>
          <w:tab w:val="left" w:pos="0"/>
        </w:tabs>
        <w:spacing w:after="120"/>
        <w:ind w:left="283"/>
        <w:rPr>
          <w:sz w:val="22"/>
          <w:szCs w:val="22"/>
          <w:u w:val="single"/>
        </w:rPr>
      </w:pPr>
    </w:p>
    <w:sectPr w:rsidR="00817217" w:rsidRPr="00D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024F17"/>
    <w:multiLevelType w:val="hybridMultilevel"/>
    <w:tmpl w:val="D3C01724"/>
    <w:lvl w:ilvl="0" w:tplc="30BE7792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6"/>
    <w:rsid w:val="000D74EB"/>
    <w:rsid w:val="00617EE6"/>
    <w:rsid w:val="00622776"/>
    <w:rsid w:val="00734562"/>
    <w:rsid w:val="0080677E"/>
    <w:rsid w:val="00817217"/>
    <w:rsid w:val="008F13CA"/>
    <w:rsid w:val="00A17ED6"/>
    <w:rsid w:val="00C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5E5C-DC65-45B7-9381-27BEF5B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17217"/>
    <w:pPr>
      <w:jc w:val="right"/>
    </w:pPr>
  </w:style>
  <w:style w:type="character" w:customStyle="1" w:styleId="FontStyle64">
    <w:name w:val="Font Style64"/>
    <w:uiPriority w:val="99"/>
    <w:rsid w:val="00817217"/>
    <w:rPr>
      <w:rFonts w:ascii="Times New Roman" w:hAnsi="Times New Roman"/>
      <w:sz w:val="22"/>
    </w:rPr>
  </w:style>
  <w:style w:type="character" w:customStyle="1" w:styleId="a3">
    <w:name w:val="Основной текст_"/>
    <w:basedOn w:val="a0"/>
    <w:link w:val="1"/>
    <w:rsid w:val="00622776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3"/>
    <w:rsid w:val="00622776"/>
    <w:pPr>
      <w:shd w:val="clear" w:color="auto" w:fill="FFFFFF"/>
      <w:autoSpaceDE/>
      <w:autoSpaceDN/>
      <w:adjustRightInd/>
      <w:spacing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8F13CA"/>
  </w:style>
  <w:style w:type="character" w:customStyle="1" w:styleId="FontStyle63">
    <w:name w:val="Font Style63"/>
    <w:uiPriority w:val="99"/>
    <w:rsid w:val="008F13CA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8</cp:revision>
  <dcterms:created xsi:type="dcterms:W3CDTF">2020-06-30T06:04:00Z</dcterms:created>
  <dcterms:modified xsi:type="dcterms:W3CDTF">2021-04-19T08:24:00Z</dcterms:modified>
</cp:coreProperties>
</file>