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E2" w:rsidRDefault="002832E2" w:rsidP="002832E2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Техническое задание на п</w:t>
      </w:r>
      <w:r w:rsidRPr="003E75A6">
        <w:rPr>
          <w:b/>
          <w:bCs/>
          <w:color w:val="000000"/>
          <w:spacing w:val="-1"/>
          <w:sz w:val="22"/>
          <w:szCs w:val="22"/>
        </w:rPr>
        <w:t>оставк</w:t>
      </w:r>
      <w:r>
        <w:rPr>
          <w:b/>
          <w:bCs/>
          <w:color w:val="000000"/>
          <w:spacing w:val="-1"/>
          <w:sz w:val="22"/>
          <w:szCs w:val="22"/>
        </w:rPr>
        <w:t>у</w:t>
      </w:r>
      <w:r w:rsidRPr="003E75A6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8D1378">
        <w:rPr>
          <w:b/>
          <w:bCs/>
          <w:color w:val="000000"/>
          <w:spacing w:val="-1"/>
          <w:sz w:val="22"/>
          <w:szCs w:val="22"/>
        </w:rPr>
        <w:t xml:space="preserve">периферийного оборудования для нужд Государственного учреждения – Иркутского регионального отделения Фонда социального страхования Российской Федерации и его филиалов </w:t>
      </w:r>
    </w:p>
    <w:p w:rsidR="002832E2" w:rsidRDefault="002832E2" w:rsidP="002832E2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</w:p>
    <w:p w:rsidR="002832E2" w:rsidRPr="00363288" w:rsidRDefault="002832E2" w:rsidP="002832E2">
      <w:pPr>
        <w:widowControl/>
        <w:suppressAutoHyphens w:val="0"/>
        <w:spacing w:after="160" w:line="259" w:lineRule="auto"/>
        <w:ind w:firstLine="709"/>
        <w:rPr>
          <w:rFonts w:eastAsia="Calibri"/>
          <w:b/>
          <w:bCs/>
          <w:kern w:val="0"/>
          <w:szCs w:val="22"/>
          <w:lang w:eastAsia="en-US"/>
        </w:rPr>
      </w:pPr>
      <w:r w:rsidRPr="00363288">
        <w:rPr>
          <w:rFonts w:eastAsia="Calibri"/>
          <w:b/>
          <w:bCs/>
          <w:kern w:val="0"/>
          <w:szCs w:val="22"/>
          <w:lang w:eastAsia="en-US"/>
        </w:rPr>
        <w:t>Многофункциональное устройство (далее – МФУ Тип 2) со следующими ключевыми характеристиками: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Частота процессора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800,00 Мегагерц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Цветность печати Черно-Белая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Формат печати А4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устройства автоподачи сканера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Технология печати Электрографическая (лазерная, светодиодная)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Количество печати страниц в месяц Больше или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равно  50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> 000 Штук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Возможность двухсторонней печати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факса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модуля WI-FI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разъема USB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ЖК-дисплея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финишера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Наличие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степлера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дырокола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фальцовщика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Тип системы печати Однокомпонентная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Встроенная система непрерывной подачи чернил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Печать на оптических дисках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Возможность двухстороннего сканирования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Класс энергетической эффективности, не ниже A+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фотопечати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Время выхода из спящего режима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10 Секунд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Время выхода первого черно-белого отпечатка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7 Секунд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Ресурс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фотобарабана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, страница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100 000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Скорость черно-белой печати в формате А4 по ISO/IEC 24734,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стр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>/мин Больше или равно 40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Объем установленной оперативной памяти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512 Мегабайт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Способ подключения LAN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Способ подключения USB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Суммарная емкость лотков подачи бумаги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350 Штук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Суммарная емкость выходных лотков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150 Штук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Тип сканирования Протяжный/планшетный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в комплекте поставки оригинального стартового черно-белого картриджа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в комплекте поставки оригинальных стартовых цветных картриджей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кабеля электропитания для подключения к сети 220В в комплекте поставки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Наличия встроенного считывателя карт доступа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Наличие в комплекте внешнего планшета для работы с системами мониторинга и защиты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печати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входящей в Единый реестр российских программ для электронных вычислительных машин и баз данных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двустороннего автоматического сканера формата ID-1 по стандарту ISO 7810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Встроенное приложение для работы с системами мониторинга 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управления печатью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входящих в Единый реестр российских программ для электронных вычислительных машин и баз данных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Возможность сканирования в форматах A4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Количество ядер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процессора  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 Штуки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Время выхода первой копии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10 Секунд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Совместимость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MacOS</w:t>
      </w:r>
      <w:proofErr w:type="spellEnd"/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Совместимость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Linux</w:t>
      </w:r>
      <w:proofErr w:type="spellEnd"/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Совместимость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Windows</w:t>
      </w:r>
      <w:proofErr w:type="spellEnd"/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интерфейсного кабеля для подключения к компьютеру в комплекте поставки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 сканирования по вертикали,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600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 сканирования по горизонтали,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600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lastRenderedPageBreak/>
        <w:t xml:space="preserve">Максимальное разрешение черно-белой печати по горизонтали,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1 200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 черно-белой печати по вертикали,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1 200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Совместимость с сертифицированной ФСТЭК операционной системой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Количество печати страниц в месяц от 35000 до 70 000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Дополнительные характеристики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Поддержка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PostScript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– наличие.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Создание файлов в формате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PDF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>, иные опционально.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>Дуплекс – наличие.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Интерфейсы подключения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USB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не ниже 2.0,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USB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>-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Host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не ниже 2.0,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Ethernet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с поддержкой 10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BaseT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/100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BaseTX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/1000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BaseT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>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jc w:val="both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 xml:space="preserve">Комплектация поставки: 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МФУ, оригинальный тонер-картридж (того же производителя что и МФУ) в количестве 1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eastAsia="en-US"/>
        </w:rPr>
        <w:t>шт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на 1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eastAsia="en-US"/>
        </w:rPr>
        <w:t>мфу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ресурсом не менее 2600 страниц при 5% заполнении отпечатка, дополнительный оригинальный тонер-картридж 2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eastAsia="en-US"/>
        </w:rPr>
        <w:t>шт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>, емкостью не менее 7200 страниц при 5% заполнении отпечатка, кабель питания.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jc w:val="both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>После поставки и установки МФУ Тип 2 должно функционировать полностью.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>Количество поставляемых МФУ Тип 2 – 14 (четырнадцать) штук.</w:t>
      </w:r>
    </w:p>
    <w:p w:rsidR="002832E2" w:rsidRPr="00363288" w:rsidRDefault="002832E2" w:rsidP="002832E2">
      <w:pPr>
        <w:suppressLineNumbers/>
        <w:rPr>
          <w:bCs/>
          <w:sz w:val="22"/>
          <w:szCs w:val="22"/>
          <w:lang w:eastAsia="hi-IN" w:bidi="hi-IN"/>
        </w:rPr>
      </w:pPr>
      <w:r w:rsidRPr="00363288">
        <w:rPr>
          <w:b/>
          <w:bCs/>
          <w:sz w:val="22"/>
          <w:szCs w:val="22"/>
          <w:lang w:eastAsia="hi-IN" w:bidi="hi-IN"/>
        </w:rPr>
        <w:t>Место поставки товара:</w:t>
      </w:r>
    </w:p>
    <w:p w:rsidR="002832E2" w:rsidRPr="00363288" w:rsidRDefault="002832E2" w:rsidP="002832E2">
      <w:pPr>
        <w:suppressLineNumbers/>
        <w:rPr>
          <w:bCs/>
          <w:sz w:val="22"/>
          <w:szCs w:val="22"/>
          <w:lang w:eastAsia="hi-IN" w:bidi="hi-IN"/>
        </w:rPr>
      </w:pPr>
      <w:r w:rsidRPr="00363288">
        <w:rPr>
          <w:bCs/>
          <w:sz w:val="22"/>
          <w:szCs w:val="22"/>
          <w:lang w:eastAsia="hi-IN" w:bidi="hi-IN"/>
        </w:rPr>
        <w:t>1. Иркутская область, г. Иркутск, ул. Свердлова, д. 41 (2 этаж). - 2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2. Иркутская область, пос. Усть-Ордынский, ул. Ленина, д. 40Б, (2 этаж) </w:t>
      </w:r>
      <w:r w:rsidRPr="00363288">
        <w:rPr>
          <w:bCs/>
          <w:sz w:val="22"/>
          <w:szCs w:val="22"/>
          <w:lang w:eastAsia="hi-IN" w:bidi="hi-IN"/>
        </w:rPr>
        <w:t>- 1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3. Иркутская область, г. Ангарск, квартал 96, дом 7, помещение 2 (3 этаж) </w:t>
      </w:r>
      <w:r w:rsidRPr="00363288">
        <w:rPr>
          <w:bCs/>
          <w:sz w:val="22"/>
          <w:szCs w:val="22"/>
          <w:lang w:eastAsia="hi-IN" w:bidi="hi-IN"/>
        </w:rPr>
        <w:t>- 2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4.  Иркутская область, г. Братск, ул. Депутатская, д. 38 (1 этаж) –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5.  Иркутская область, г. Тайшет, ул. Автозаводская, д. 3-А (2 этаж) </w:t>
      </w:r>
      <w:r w:rsidRPr="00363288">
        <w:rPr>
          <w:bCs/>
          <w:sz w:val="22"/>
          <w:szCs w:val="22"/>
          <w:lang w:eastAsia="hi-IN" w:bidi="hi-IN"/>
        </w:rPr>
        <w:t>- 1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6.  Иркутская область, г. Усолье - Сибирское, ул. Менделеева № 65-А (3 этаж)</w:t>
      </w:r>
      <w:r w:rsidRPr="00363288">
        <w:rPr>
          <w:bCs/>
          <w:sz w:val="22"/>
          <w:szCs w:val="22"/>
          <w:lang w:eastAsia="hi-IN" w:bidi="hi-IN"/>
        </w:rPr>
        <w:t xml:space="preserve"> - 2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7.  Иркутская область, г. Усть-Кут, ул. Кирова, д. 85А (2 этаж)</w:t>
      </w:r>
      <w:r w:rsidRPr="00363288">
        <w:rPr>
          <w:bCs/>
          <w:sz w:val="22"/>
          <w:szCs w:val="22"/>
          <w:lang w:eastAsia="hi-IN" w:bidi="hi-IN"/>
        </w:rPr>
        <w:t xml:space="preserve"> - 1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8.  Иркутская область, г. Усть-Илимск, ул. Энтузиастов, д. 9 (1 этаж)</w:t>
      </w:r>
      <w:r w:rsidRPr="00363288">
        <w:rPr>
          <w:bCs/>
          <w:sz w:val="22"/>
          <w:szCs w:val="22"/>
          <w:lang w:eastAsia="hi-IN" w:bidi="hi-IN"/>
        </w:rPr>
        <w:t xml:space="preserve"> - 1 шт.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9. Иркутская область, г. Тулун, ул. Горького, д. 2 (2 этаж)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- 2 шт.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spacing w:after="160" w:line="259" w:lineRule="auto"/>
        <w:ind w:firstLine="709"/>
        <w:rPr>
          <w:rFonts w:eastAsia="Calibri"/>
          <w:b/>
          <w:bCs/>
          <w:kern w:val="0"/>
          <w:szCs w:val="22"/>
          <w:lang w:eastAsia="en-US"/>
        </w:rPr>
      </w:pPr>
      <w:r w:rsidRPr="00363288">
        <w:rPr>
          <w:rFonts w:eastAsia="Calibri"/>
          <w:b/>
          <w:bCs/>
          <w:kern w:val="0"/>
          <w:szCs w:val="22"/>
          <w:lang w:eastAsia="en-US"/>
        </w:rPr>
        <w:t>Многофункциональное устройство (далее – МФУ Тип 3) со следующими ключевыми характеристиками: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Частота процессора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1 000 Мегагерц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Цветность печати Черно-Белая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Формат печати А3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устройства автоподачи сканера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Технология печати Электрографическая (лазерная, светодиодная)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Возможность двухсторонней печати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факса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модуля WI-FI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разъема USB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ЖК-дисплея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финишера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Наличие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степлера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дырокола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фальцовщика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Тип системы печати Однокомпонентная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Встроенная система непрерывной подачи чернил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Печать на оптических дисках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Возможность двухстороннего сканирования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фотопечати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Время выхода из спящего режима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10 Секунд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Время выхода первого черно-белого отпечатка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12 Секунд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Ресурс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фотобарабана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, страница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100 000 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lastRenderedPageBreak/>
        <w:t xml:space="preserve">Скорость черно-белой печати в формате А4 по ISO/IEC 24734,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стр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>/мин Больше или равно 30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Объем установленной оперативной памяти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2 048 Мегабайт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Способ подключения LAN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Способ подключения USB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Суммарная емкость лотков подачи бумаги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1 000 Штук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Суммарная емкость выходных лотков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250 Штук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Тип сканирования Протяжный/планшетный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в комплекте поставки оригинального стартового черно-белого картриджа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в комплекте поставки оригинальных стартовых цветных картриджей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кабеля электропитания для подключения к сети 220В в комплекте поставки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Наличия встроенного считывателя карт доступа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Наличие в комплекте внешнего планшета для работы с системами мониторинга и защиты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печати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входящей в Единый реестр российских программ для электронных вычислительных машин и баз данных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двустороннего автоматического сканера формата ID-1 по стандарту ISO 7810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Встроенное приложение для работы с системами мониторинга 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управления печатью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входящих в Единый реестр российских программ для электронных вычислительных машин и баз данных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Возможность сканирования в форматах A3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Количество ядер процессора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2 Штук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Время выхода первой копии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10 Секунд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Совместимость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MacOS</w:t>
      </w:r>
      <w:proofErr w:type="spellEnd"/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Совместимость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Linux</w:t>
      </w:r>
      <w:proofErr w:type="spellEnd"/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Совместимость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Windows</w:t>
      </w:r>
      <w:proofErr w:type="spellEnd"/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Совместимость с сертифицированной ФСТЭК операционной системой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интерфейсного кабеля для подключения к компьютеру в комплекте поставки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 сканирования по вертикали,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600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 сканирования по горизонтали,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600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 черно-белой печати по вертикали,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1 200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 черно-белой печати по горизонтали,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Больше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или равно 1 200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Количество печати страниц в месяц от 70 000 до 150000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ind w:firstLine="709"/>
        <w:rPr>
          <w:rFonts w:eastAsia="Calibri"/>
          <w:bCs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Дополнительные характеристики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Поддержка </w:t>
      </w:r>
      <w:r w:rsidRPr="00363288">
        <w:rPr>
          <w:rFonts w:eastAsia="Calibri"/>
          <w:kern w:val="0"/>
          <w:sz w:val="22"/>
          <w:szCs w:val="22"/>
          <w:lang w:val="en-US" w:eastAsia="en-US"/>
        </w:rPr>
        <w:t>PostScript</w:t>
      </w:r>
      <w:r w:rsidRPr="00363288">
        <w:rPr>
          <w:rFonts w:eastAsia="Calibri"/>
          <w:kern w:val="0"/>
          <w:sz w:val="22"/>
          <w:szCs w:val="22"/>
          <w:lang w:eastAsia="en-US"/>
        </w:rPr>
        <w:t xml:space="preserve"> – наличие.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Создание файлов в формате </w:t>
      </w:r>
      <w:r w:rsidRPr="00363288">
        <w:rPr>
          <w:rFonts w:eastAsia="Calibri"/>
          <w:kern w:val="0"/>
          <w:sz w:val="22"/>
          <w:szCs w:val="22"/>
          <w:lang w:val="en-US" w:eastAsia="en-US"/>
        </w:rPr>
        <w:t>PDF</w:t>
      </w:r>
      <w:r w:rsidRPr="00363288">
        <w:rPr>
          <w:rFonts w:eastAsia="Calibri"/>
          <w:kern w:val="0"/>
          <w:sz w:val="22"/>
          <w:szCs w:val="22"/>
          <w:lang w:eastAsia="en-US"/>
        </w:rPr>
        <w:t>, иные опционально.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Предустановленный </w:t>
      </w:r>
      <w:r w:rsidRPr="00363288">
        <w:rPr>
          <w:rFonts w:eastAsia="Calibri"/>
          <w:kern w:val="0"/>
          <w:sz w:val="22"/>
          <w:szCs w:val="22"/>
          <w:lang w:val="en-US" w:eastAsia="en-US"/>
        </w:rPr>
        <w:t>SSD</w:t>
      </w:r>
      <w:r w:rsidRPr="00363288">
        <w:rPr>
          <w:rFonts w:eastAsia="Calibri"/>
          <w:kern w:val="0"/>
          <w:sz w:val="22"/>
          <w:szCs w:val="22"/>
          <w:lang w:eastAsia="en-US"/>
        </w:rPr>
        <w:t xml:space="preserve"> диск не менее 8 Гб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Предустановленный </w:t>
      </w:r>
      <w:r w:rsidRPr="00363288">
        <w:rPr>
          <w:rFonts w:eastAsia="Calibri"/>
          <w:kern w:val="0"/>
          <w:sz w:val="22"/>
          <w:szCs w:val="22"/>
          <w:lang w:val="en-US" w:eastAsia="en-US"/>
        </w:rPr>
        <w:t>HDD</w:t>
      </w:r>
      <w:r w:rsidRPr="00363288">
        <w:rPr>
          <w:rFonts w:eastAsia="Calibri"/>
          <w:kern w:val="0"/>
          <w:sz w:val="22"/>
          <w:szCs w:val="22"/>
          <w:lang w:eastAsia="en-US"/>
        </w:rPr>
        <w:t xml:space="preserve"> диск не менее 320 Гб.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Интерфейсы подключения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USB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не ниже 2.0,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USB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>-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Host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не ниже 2.0,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Ethernet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с поддержкой 10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BaseT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/100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BaseTX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/1000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BaseT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>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Предустановленный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eastAsia="en-US"/>
        </w:rPr>
        <w:t>Автоподатчик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оригиналов – однопроходный двусторонний емкостью не менее 270 листов.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>Дуплекс – наличие.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>Панель управления – сенсорная, полноцветная, размер не менее 9 дюймов с возможностью наклона.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>Комплектация МФУ Тип 3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должна включать все необходимые оригинальные (того же производителя что и МФУ) расходные материалы в количестве 2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eastAsia="en-US"/>
        </w:rPr>
        <w:t>шт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не менее 20000 страниц при 5% заполнении отпечатка, на 1 </w:t>
      </w:r>
      <w:proofErr w:type="spellStart"/>
      <w:r w:rsidRPr="00363288">
        <w:rPr>
          <w:rFonts w:eastAsia="Calibri"/>
          <w:bCs/>
          <w:kern w:val="0"/>
          <w:sz w:val="22"/>
          <w:szCs w:val="22"/>
          <w:lang w:eastAsia="en-US"/>
        </w:rPr>
        <w:t>мфу</w:t>
      </w:r>
      <w:proofErr w:type="spellEnd"/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, кабель питания. </w:t>
      </w:r>
    </w:p>
    <w:p w:rsidR="002832E2" w:rsidRPr="00363288" w:rsidRDefault="002832E2" w:rsidP="002832E2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>После поставки и установки МФУ Тип 3 должно функционировать полностью.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>Количество поставляемых МФУ Тип 3 – 3 (три) штуки.</w:t>
      </w:r>
    </w:p>
    <w:p w:rsidR="002832E2" w:rsidRPr="00363288" w:rsidRDefault="002832E2" w:rsidP="002832E2">
      <w:pPr>
        <w:suppressLineNumbers/>
        <w:rPr>
          <w:bCs/>
          <w:sz w:val="22"/>
          <w:szCs w:val="22"/>
          <w:lang w:eastAsia="hi-IN" w:bidi="hi-IN"/>
        </w:rPr>
      </w:pPr>
      <w:r w:rsidRPr="00363288">
        <w:rPr>
          <w:b/>
          <w:bCs/>
          <w:sz w:val="22"/>
          <w:szCs w:val="22"/>
          <w:lang w:eastAsia="hi-IN" w:bidi="hi-IN"/>
        </w:rPr>
        <w:t>Место поставки товара: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1. </w:t>
      </w:r>
      <w:r w:rsidRPr="00363288">
        <w:rPr>
          <w:bCs/>
          <w:sz w:val="22"/>
          <w:szCs w:val="22"/>
          <w:lang w:eastAsia="hi-IN" w:bidi="hi-IN"/>
        </w:rPr>
        <w:t>Иркутская область, г. Иркутск, ул. Свердлова, д. 41 (2 этаж)</w:t>
      </w:r>
      <w:r>
        <w:rPr>
          <w:bCs/>
          <w:sz w:val="22"/>
          <w:szCs w:val="22"/>
          <w:lang w:eastAsia="hi-IN" w:bidi="hi-IN"/>
        </w:rPr>
        <w:t xml:space="preserve"> –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2. Иркутская область, г. Братск, ул. Депутатская, д. 38 (1 этаж)</w:t>
      </w:r>
      <w:r w:rsidRPr="008F5A5F">
        <w:rPr>
          <w:bCs/>
          <w:sz w:val="22"/>
          <w:szCs w:val="22"/>
          <w:lang w:eastAsia="hi-IN" w:bidi="hi-IN"/>
        </w:rPr>
        <w:t xml:space="preserve"> </w:t>
      </w:r>
      <w:r>
        <w:rPr>
          <w:bCs/>
          <w:sz w:val="22"/>
          <w:szCs w:val="22"/>
          <w:lang w:eastAsia="hi-IN" w:bidi="hi-IN"/>
        </w:rPr>
        <w:t>–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3. Иркутская область, г. Иркутск, ул. Тимирязева, д. 35 (1 этаж)</w:t>
      </w:r>
      <w:r w:rsidRPr="008F5A5F">
        <w:rPr>
          <w:bCs/>
          <w:sz w:val="22"/>
          <w:szCs w:val="22"/>
          <w:lang w:eastAsia="hi-IN" w:bidi="hi-IN"/>
        </w:rPr>
        <w:t xml:space="preserve"> </w:t>
      </w:r>
      <w:r>
        <w:rPr>
          <w:bCs/>
          <w:sz w:val="22"/>
          <w:szCs w:val="22"/>
          <w:lang w:eastAsia="hi-IN" w:bidi="hi-IN"/>
        </w:rPr>
        <w:t>–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spacing w:after="160" w:line="259" w:lineRule="auto"/>
        <w:ind w:firstLine="709"/>
        <w:rPr>
          <w:rFonts w:eastAsia="Calibri"/>
          <w:b/>
          <w:bCs/>
          <w:kern w:val="0"/>
          <w:szCs w:val="22"/>
          <w:lang w:eastAsia="en-US"/>
        </w:rPr>
      </w:pPr>
      <w:r w:rsidRPr="00363288">
        <w:rPr>
          <w:rFonts w:eastAsia="Calibri"/>
          <w:b/>
          <w:bCs/>
          <w:kern w:val="0"/>
          <w:szCs w:val="22"/>
          <w:lang w:eastAsia="en-US"/>
        </w:rPr>
        <w:lastRenderedPageBreak/>
        <w:t>Сканер со следующими ключевыми характеристиками: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Максимальная толщина оригинала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10 Сантиметров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Тип сканирования Протяжный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Максимальный формат сканирования A4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Тип датчика сканера CIS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Скорость сканирования в чёрно-белом режиме,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стр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/мин от Больше или равно 20 до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30 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Скорость сканирования в цветном режиме,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стр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>/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мин  от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Больше или равно 20 до Меньше 30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Интерфейс подключения USB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устройства автоподачи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функции двустороннего сканирования Да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дисплея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Максимальное разрешение,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dpi</w:t>
      </w:r>
      <w:proofErr w:type="spell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1200 х 1200 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Совместимость </w:t>
      </w:r>
      <w:proofErr w:type="spellStart"/>
      <w:r w:rsidRPr="00363288">
        <w:rPr>
          <w:rFonts w:eastAsia="Calibri"/>
          <w:kern w:val="0"/>
          <w:sz w:val="22"/>
          <w:szCs w:val="22"/>
          <w:lang w:eastAsia="en-US"/>
        </w:rPr>
        <w:t>Windows</w:t>
      </w:r>
      <w:proofErr w:type="spellEnd"/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Минимальная область сканирования по ширине Больше или равно 150 Миллиметров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Минимальная область сканирования по длине Больше или равно 150 Миллиметров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 xml:space="preserve">Вес от Больше или равно 3 до </w:t>
      </w:r>
      <w:proofErr w:type="gramStart"/>
      <w:r w:rsidRPr="00363288">
        <w:rPr>
          <w:rFonts w:eastAsia="Calibri"/>
          <w:kern w:val="0"/>
          <w:sz w:val="22"/>
          <w:szCs w:val="22"/>
          <w:lang w:eastAsia="en-US"/>
        </w:rPr>
        <w:t>Меньше</w:t>
      </w:r>
      <w:proofErr w:type="gramEnd"/>
      <w:r w:rsidRPr="00363288">
        <w:rPr>
          <w:rFonts w:eastAsia="Calibri"/>
          <w:kern w:val="0"/>
          <w:sz w:val="22"/>
          <w:szCs w:val="22"/>
          <w:lang w:eastAsia="en-US"/>
        </w:rPr>
        <w:t xml:space="preserve"> 4 Килограмм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Наличие V-ной книжной колыбели Нет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b/>
          <w:kern w:val="0"/>
          <w:sz w:val="22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spacing w:after="160" w:line="259" w:lineRule="auto"/>
        <w:jc w:val="both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>Комплектация поставки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: Сканер, кабель питания, кабель </w:t>
      </w:r>
      <w:r w:rsidRPr="00363288">
        <w:rPr>
          <w:rFonts w:eastAsia="Calibri"/>
          <w:bCs/>
          <w:kern w:val="0"/>
          <w:sz w:val="22"/>
          <w:szCs w:val="22"/>
          <w:lang w:val="en-US" w:eastAsia="en-US"/>
        </w:rPr>
        <w:t>USB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для подключения к компьютеру, диск с программным обеспечением, документация.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jc w:val="both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>После поставки и подключения сканер должен функционировать полностью.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>Количество поставляемых сканеров: 14 (четырнадцать) штук.</w:t>
      </w:r>
    </w:p>
    <w:p w:rsidR="002832E2" w:rsidRPr="00363288" w:rsidRDefault="002832E2" w:rsidP="002832E2">
      <w:pPr>
        <w:suppressLineNumbers/>
        <w:rPr>
          <w:bCs/>
          <w:sz w:val="22"/>
          <w:szCs w:val="22"/>
          <w:lang w:eastAsia="hi-IN" w:bidi="hi-IN"/>
        </w:rPr>
      </w:pPr>
      <w:r w:rsidRPr="00363288">
        <w:rPr>
          <w:rFonts w:cs="Mangal"/>
          <w:b/>
          <w:bCs/>
          <w:sz w:val="22"/>
          <w:szCs w:val="22"/>
          <w:lang w:eastAsia="hi-IN" w:bidi="hi-IN"/>
        </w:rPr>
        <w:t>Место поставки товара:</w:t>
      </w:r>
    </w:p>
    <w:p w:rsidR="002832E2" w:rsidRPr="00363288" w:rsidRDefault="002832E2" w:rsidP="002832E2">
      <w:pPr>
        <w:suppressLineNumbers/>
        <w:rPr>
          <w:bCs/>
          <w:sz w:val="22"/>
          <w:szCs w:val="22"/>
          <w:lang w:eastAsia="hi-IN" w:bidi="hi-IN"/>
        </w:rPr>
      </w:pPr>
      <w:r w:rsidRPr="00363288">
        <w:rPr>
          <w:bCs/>
          <w:sz w:val="22"/>
          <w:szCs w:val="22"/>
          <w:lang w:eastAsia="hi-IN" w:bidi="hi-IN"/>
        </w:rPr>
        <w:t>1. Иркутская область, г. Иркутск, ул. Свердлова, д. 41 (2 этаж). - 2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2. Иркутская область, пос. Усть-Ордынский, ул. Ленина, д. 40Б, (2 этаж) </w:t>
      </w:r>
      <w:r w:rsidRPr="00363288">
        <w:rPr>
          <w:bCs/>
          <w:sz w:val="22"/>
          <w:szCs w:val="22"/>
          <w:lang w:eastAsia="hi-IN" w:bidi="hi-IN"/>
        </w:rPr>
        <w:t>- 1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3. Иркутская область, г. Ангарск, квартал 96, дом 7, помещение 2 (3 этаж) </w:t>
      </w:r>
      <w:r w:rsidRPr="00363288">
        <w:rPr>
          <w:bCs/>
          <w:sz w:val="22"/>
          <w:szCs w:val="22"/>
          <w:lang w:eastAsia="hi-IN" w:bidi="hi-IN"/>
        </w:rPr>
        <w:t>- 2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4. Иркутская область, г. Братск, ул. Депутатская, д. 38 (1 этаж) –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5.  Иркутская область, г. Тайшет, ул. Автозаводская, д. 3-А (2 этаж) </w:t>
      </w:r>
      <w:r w:rsidRPr="00363288">
        <w:rPr>
          <w:bCs/>
          <w:sz w:val="22"/>
          <w:szCs w:val="22"/>
          <w:lang w:eastAsia="hi-IN" w:bidi="hi-IN"/>
        </w:rPr>
        <w:t>- 1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6.  Иркутская область, г. Усолье - Сибирское, ул. Менделеева № 65-А (3 этаж)</w:t>
      </w:r>
      <w:r w:rsidRPr="00363288">
        <w:rPr>
          <w:bCs/>
          <w:sz w:val="22"/>
          <w:szCs w:val="22"/>
          <w:lang w:eastAsia="hi-IN" w:bidi="hi-IN"/>
        </w:rPr>
        <w:t xml:space="preserve"> - 2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7.  Иркутская область, г. Усть-Кут, ул. Кирова, д. 85А (2 этаж)</w:t>
      </w:r>
      <w:r w:rsidRPr="00363288">
        <w:rPr>
          <w:bCs/>
          <w:sz w:val="22"/>
          <w:szCs w:val="22"/>
          <w:lang w:eastAsia="hi-IN" w:bidi="hi-IN"/>
        </w:rPr>
        <w:t xml:space="preserve"> - 1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8.  Иркутская область, г. Усть-Илимск, ул. Энтузиастов, д. 9 (1 этаж)</w:t>
      </w:r>
      <w:r w:rsidRPr="00363288">
        <w:rPr>
          <w:bCs/>
          <w:sz w:val="22"/>
          <w:szCs w:val="22"/>
          <w:lang w:eastAsia="hi-IN" w:bidi="hi-IN"/>
        </w:rPr>
        <w:t xml:space="preserve"> - 1 шт.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eastAsia="en-US"/>
        </w:rPr>
      </w:pPr>
      <w:r w:rsidRPr="00363288">
        <w:rPr>
          <w:rFonts w:eastAsia="Calibri"/>
          <w:kern w:val="0"/>
          <w:sz w:val="22"/>
          <w:szCs w:val="22"/>
          <w:lang w:eastAsia="en-US"/>
        </w:rPr>
        <w:t>9.  Иркутская область, г. Тулун, ул. Горького, д. 2 (2 этаж)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 - 2 шт.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ind w:firstLine="709"/>
        <w:rPr>
          <w:rFonts w:eastAsia="Calibri"/>
          <w:b/>
          <w:bCs/>
          <w:kern w:val="0"/>
          <w:szCs w:val="22"/>
          <w:lang w:eastAsia="en-US"/>
        </w:rPr>
      </w:pPr>
      <w:r w:rsidRPr="00363288">
        <w:rPr>
          <w:rFonts w:eastAsia="Calibri"/>
          <w:b/>
          <w:bCs/>
          <w:kern w:val="0"/>
          <w:szCs w:val="22"/>
          <w:lang w:eastAsia="en-US"/>
        </w:rPr>
        <w:t>Источники бесперебойного питания со следующими ключевыми характеристиками: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36"/>
        <w:gridCol w:w="1944"/>
        <w:gridCol w:w="1328"/>
        <w:gridCol w:w="1205"/>
        <w:gridCol w:w="1167"/>
      </w:tblGrid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Тип характеристики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Диапазон от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Диапазон до</w:t>
            </w: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Интерфейс связи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USB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Полная мощность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Вольт-ампер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1000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Линейно-интерактивный (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line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interactive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Минимальное время автономной работы при расчетной нагрузке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Минута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10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Возможность подключения внешних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Форм-фактор источника бесперебойного питания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Отдельно стоящий (напольный)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дополнительных функций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Встроенный автоматический стабилизатор напряжения (AVR)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дополнительных функций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Выходы питания на нагрузку с батарейной поддержкой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дополнительных функций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Цветовая индикация состояния источника бесперебойного питания (меняющийся экран)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Количество выходных разъемов питания с батарейной поддержкой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4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используемых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Свинцово-кислотные герметичные необслуживаемые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дисплея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Наличие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клеммного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выхода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Наличие функции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паралельной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работы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Сейсмостойкое исполнение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Номинальная мощность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Ватт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700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Активная мощность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Ватт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700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Коэффициент полезного действия источника бесперебойного питания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90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Минимально-допустимое номинальное напряжение аккумуляторных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Вольт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Максимально-допустимое номинальное напряжение аккумуляторных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Вольт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Понижение входного напряжения без переключения на использование АКБ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Вольт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или равно 320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Повышение входного напряжения без </w:t>
            </w: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переключения на использование АКБ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Вольт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240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Допустимое время работы при перегрузке 110%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Минута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1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Допустимое время работы при перегрузке 125%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Минута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0,5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Минимальная температура окружающей среды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Градус Цельсия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или равно 10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Максимальная температура окружающей среды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Градус Цельсия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30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Максимальная относительная влажность окружающей среды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90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Уровень шума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Децибел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или равно 40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Высота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Миллиметр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150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или равно 200</w:t>
            </w: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Миллиметр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или равно 150</w:t>
            </w: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Глубина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Миллиметр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350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или равно 400</w:t>
            </w: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Масса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или равно 50</w:t>
            </w: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Номинальное напряжение одного аккумулятора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Ватт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Емкость одного аккумулятора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Ампер-час (3,6 кКл)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7,2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Количество выходных розеток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Schuko</w:t>
            </w:r>
            <w:proofErr w:type="spellEnd"/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4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Управление и мониторинг ИБП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Программное обеспечение для контроля ИБП того же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вендора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что и производитель ИБП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сетевой карты в составе источника бесперебойного питания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защиты источника бесперебойного питания от протечек воды сверху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защиты источника бесперебойного питания от пыли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Пространство для обслуживания источника бесперебойного питания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Спереди и сзади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Встроенное N+1 резервирование (на уровне модулей) для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модульногоисточника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бесперебойного питания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Модельная архитектура силовой части источника бесперебойного питания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встроенной в ячейки батарей пассивной защиты от перезаряда при использовании литий-ионных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расширенного мониторинга при использовании модульных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Поддержка технологии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plug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-n-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play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при использовании модульных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Фазность</w:t>
            </w:r>
            <w:proofErr w:type="spell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источника бесперебойного питания (</w:t>
            </w:r>
            <w:proofErr w:type="spellStart"/>
            <w:proofErr w:type="gram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вход:выход</w:t>
            </w:r>
            <w:proofErr w:type="spellEnd"/>
            <w:proofErr w:type="gramEnd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1:01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Подключение ввода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1Ph+N+PE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Подключение вывода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1Ph+N+PE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Номинальное входное напряжение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Вольт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220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240</w:t>
            </w: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Номинальное выходное напряжение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Вольт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Больше или равно 220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Меньше 240</w:t>
            </w: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Номинальная входная частота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Герц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Номинальная выходная частота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Герц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Расположение батарей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 источника бесперебойного питания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Модульная архитектура батарей источника бесперебойного питания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Параметры аккумуляторной батареи, измеряемые системой мониторинга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Напряжение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Наличие функции холодного старта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Резервирование при параллельной работе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Наличие режима повышенной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Заряд батарей в режиме повышенной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3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Коррекция помех в режиме повышенной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Нулевое (0мс) время переключения из режима повышенной </w:t>
            </w:r>
            <w:proofErr w:type="spellStart"/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832E2" w:rsidRPr="00363288" w:rsidTr="00BB13A3">
        <w:trPr>
          <w:trHeight w:val="600"/>
          <w:jc w:val="center"/>
        </w:trPr>
        <w:tc>
          <w:tcPr>
            <w:tcW w:w="2781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Режим нагрузочного самотестирования источника бесперебойного питания без подключения нагрузки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Качественная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328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2832E2" w:rsidRPr="00363288" w:rsidRDefault="002832E2" w:rsidP="00BB13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832E2" w:rsidRPr="00363288" w:rsidRDefault="002832E2" w:rsidP="002832E2">
      <w:pPr>
        <w:widowControl/>
        <w:suppressAutoHyphens w:val="0"/>
        <w:spacing w:after="160" w:line="259" w:lineRule="auto"/>
        <w:ind w:firstLine="709"/>
        <w:rPr>
          <w:rFonts w:eastAsia="Calibri"/>
          <w:b/>
          <w:bCs/>
          <w:kern w:val="0"/>
          <w:szCs w:val="22"/>
          <w:lang w:eastAsia="en-US"/>
        </w:rPr>
      </w:pPr>
    </w:p>
    <w:p w:rsidR="002832E2" w:rsidRPr="00363288" w:rsidRDefault="002832E2" w:rsidP="002832E2">
      <w:pPr>
        <w:widowControl/>
        <w:suppressAutoHyphens w:val="0"/>
        <w:spacing w:before="100" w:beforeAutospacing="1" w:after="100" w:afterAutospacing="1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>Комплектация поставки</w:t>
      </w:r>
      <w:r w:rsidRPr="00363288">
        <w:rPr>
          <w:rFonts w:eastAsia="Calibri"/>
          <w:bCs/>
          <w:kern w:val="0"/>
          <w:sz w:val="22"/>
          <w:szCs w:val="22"/>
          <w:lang w:eastAsia="en-US"/>
        </w:rPr>
        <w:t xml:space="preserve">: </w:t>
      </w:r>
      <w:r w:rsidRPr="00363288">
        <w:rPr>
          <w:rFonts w:eastAsia="Times New Roman"/>
          <w:kern w:val="0"/>
          <w:lang w:eastAsia="ru-RU"/>
        </w:rPr>
        <w:t>ИБП, Входной шнур питания 1,2 метра (съемный), Выходной кабель питания, Коммуникационный USB-кабель, CD-ROM диск с программным обеспечением, Инструкция по эксплуатации, Гарантийный талон.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jc w:val="both"/>
        <w:rPr>
          <w:rFonts w:eastAsia="Calibri"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Cs/>
          <w:kern w:val="0"/>
          <w:sz w:val="22"/>
          <w:szCs w:val="22"/>
          <w:lang w:eastAsia="en-US"/>
        </w:rPr>
        <w:t>После поставки и подключения ИБП должен функционировать полностью.</w:t>
      </w:r>
    </w:p>
    <w:p w:rsidR="002832E2" w:rsidRPr="00363288" w:rsidRDefault="002832E2" w:rsidP="002832E2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363288">
        <w:rPr>
          <w:rFonts w:eastAsia="Calibri"/>
          <w:b/>
          <w:bCs/>
          <w:kern w:val="0"/>
          <w:sz w:val="22"/>
          <w:szCs w:val="22"/>
          <w:lang w:eastAsia="en-US"/>
        </w:rPr>
        <w:t>Количество поставляемых ИБП: 44 (сорок четыре) штуки.</w:t>
      </w:r>
    </w:p>
    <w:p w:rsidR="002832E2" w:rsidRPr="00363288" w:rsidRDefault="002832E2" w:rsidP="002832E2">
      <w:pPr>
        <w:suppressLineNumbers/>
        <w:rPr>
          <w:bCs/>
          <w:sz w:val="22"/>
          <w:szCs w:val="22"/>
          <w:lang w:eastAsia="hi-IN" w:bidi="hi-IN"/>
        </w:rPr>
      </w:pPr>
      <w:r w:rsidRPr="00363288">
        <w:rPr>
          <w:rFonts w:cs="Mangal"/>
          <w:b/>
          <w:bCs/>
          <w:sz w:val="22"/>
          <w:szCs w:val="22"/>
          <w:lang w:eastAsia="hi-IN" w:bidi="hi-IN"/>
        </w:rPr>
        <w:t>Место поставки товара:</w:t>
      </w:r>
    </w:p>
    <w:p w:rsidR="002832E2" w:rsidRPr="00363288" w:rsidRDefault="002832E2" w:rsidP="002832E2">
      <w:pPr>
        <w:suppressLineNumbers/>
        <w:rPr>
          <w:bCs/>
          <w:sz w:val="22"/>
          <w:szCs w:val="22"/>
          <w:lang w:eastAsia="hi-IN" w:bidi="hi-IN"/>
        </w:rPr>
      </w:pPr>
      <w:r w:rsidRPr="00363288">
        <w:rPr>
          <w:bCs/>
          <w:sz w:val="22"/>
          <w:szCs w:val="22"/>
          <w:lang w:eastAsia="hi-IN" w:bidi="hi-IN"/>
        </w:rPr>
        <w:t>1. Иркутская область, г. Иркутск, ул. Свердлова, д. 41 (2 этаж). - 3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2. Иркутская область, пос. Усть-Ордынский, ул. Ленина, д. 40Б, (2 этаж) </w:t>
      </w:r>
      <w:r w:rsidRPr="00363288">
        <w:rPr>
          <w:bCs/>
          <w:sz w:val="22"/>
          <w:szCs w:val="22"/>
          <w:lang w:eastAsia="hi-IN" w:bidi="hi-IN"/>
        </w:rPr>
        <w:t>- 3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3. Иркутская область, г. Ангарск, квартал 96, дом 7, помещение 2 (3 этаж) </w:t>
      </w:r>
      <w:r w:rsidRPr="00363288">
        <w:rPr>
          <w:bCs/>
          <w:sz w:val="22"/>
          <w:szCs w:val="22"/>
          <w:lang w:eastAsia="hi-IN" w:bidi="hi-IN"/>
        </w:rPr>
        <w:t>- 3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4. Иркутская область, г. Братск, ул. Депутатская, д. 38 (1 этаж) – 3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 xml:space="preserve">5.  Иркутская область, г. Тайшет, ул. Автозаводская, д. 3-А (2 этаж) </w:t>
      </w:r>
      <w:r w:rsidRPr="00363288">
        <w:rPr>
          <w:bCs/>
          <w:sz w:val="22"/>
          <w:szCs w:val="22"/>
          <w:lang w:eastAsia="hi-IN" w:bidi="hi-IN"/>
        </w:rPr>
        <w:t>- 3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6.  Иркутская область, г. Усолье - Сибирское, ул. Менделеева № 65-А (3 этаж)</w:t>
      </w:r>
      <w:r w:rsidRPr="00363288">
        <w:rPr>
          <w:bCs/>
          <w:sz w:val="22"/>
          <w:szCs w:val="22"/>
          <w:lang w:eastAsia="hi-IN" w:bidi="hi-IN"/>
        </w:rPr>
        <w:t xml:space="preserve"> - 3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7.  Иркутская область, г. Усть-Кут, ул. Кирова, д. 85А (2 этаж)</w:t>
      </w:r>
      <w:r w:rsidRPr="00363288">
        <w:rPr>
          <w:bCs/>
          <w:sz w:val="22"/>
          <w:szCs w:val="22"/>
          <w:lang w:eastAsia="hi-IN" w:bidi="hi-IN"/>
        </w:rPr>
        <w:t xml:space="preserve"> - 3 шт.</w:t>
      </w:r>
    </w:p>
    <w:p w:rsidR="002832E2" w:rsidRPr="00363288" w:rsidRDefault="002832E2" w:rsidP="002832E2">
      <w:pPr>
        <w:suppressLineNumbers/>
        <w:rPr>
          <w:sz w:val="22"/>
          <w:szCs w:val="22"/>
          <w:lang w:eastAsia="hi-IN" w:bidi="hi-IN"/>
        </w:rPr>
      </w:pPr>
      <w:r w:rsidRPr="00363288">
        <w:rPr>
          <w:sz w:val="22"/>
          <w:szCs w:val="22"/>
          <w:lang w:eastAsia="hi-IN" w:bidi="hi-IN"/>
        </w:rPr>
        <w:t>8.  Иркутская область, г. Усть-Илимск, ул. Энтузиастов, д. 9 (1 этаж)</w:t>
      </w:r>
      <w:r w:rsidRPr="00363288">
        <w:rPr>
          <w:bCs/>
          <w:sz w:val="22"/>
          <w:szCs w:val="22"/>
          <w:lang w:eastAsia="hi-IN" w:bidi="hi-IN"/>
        </w:rPr>
        <w:t xml:space="preserve"> - 3 шт.</w:t>
      </w:r>
    </w:p>
    <w:p w:rsidR="002832E2" w:rsidRPr="00363288" w:rsidRDefault="002832E2" w:rsidP="002832E2">
      <w:pPr>
        <w:widowControl/>
        <w:suppressAutoHyphens w:val="0"/>
        <w:rPr>
          <w:rFonts w:ascii="Calibri" w:eastAsia="Calibri" w:hAnsi="Calibri"/>
          <w:bCs/>
          <w:kern w:val="0"/>
          <w:sz w:val="22"/>
          <w:szCs w:val="22"/>
          <w:lang w:eastAsia="en-US"/>
        </w:rPr>
      </w:pPr>
      <w:r w:rsidRPr="00363288">
        <w:rPr>
          <w:rFonts w:ascii="Calibri" w:eastAsia="Calibri" w:hAnsi="Calibri"/>
          <w:kern w:val="0"/>
          <w:sz w:val="22"/>
          <w:szCs w:val="22"/>
          <w:lang w:eastAsia="en-US"/>
        </w:rPr>
        <w:t>9.  Иркутская область, г. Тулун, ул. Горького, д. 2 (2 этаж)</w:t>
      </w:r>
      <w:r w:rsidRPr="00363288"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 - 3 шт.</w:t>
      </w:r>
    </w:p>
    <w:p w:rsidR="002832E2" w:rsidRPr="00363288" w:rsidRDefault="002832E2" w:rsidP="002832E2">
      <w:pPr>
        <w:widowControl/>
        <w:suppressAutoHyphens w:val="0"/>
        <w:rPr>
          <w:rFonts w:ascii="Calibri" w:eastAsia="Calibri" w:hAnsi="Calibri"/>
          <w:bCs/>
          <w:kern w:val="0"/>
          <w:sz w:val="22"/>
          <w:szCs w:val="22"/>
          <w:lang w:eastAsia="en-US"/>
        </w:rPr>
      </w:pPr>
      <w:r w:rsidRPr="00363288">
        <w:rPr>
          <w:rFonts w:ascii="Calibri" w:eastAsia="Calibri" w:hAnsi="Calibri"/>
          <w:bCs/>
          <w:kern w:val="0"/>
          <w:sz w:val="22"/>
          <w:szCs w:val="22"/>
          <w:lang w:eastAsia="en-US"/>
        </w:rPr>
        <w:t>10. Иркутская область, г. Иркутск, ул. Тимирязева, д. 35 (цоколь). - 17 шт.</w:t>
      </w:r>
    </w:p>
    <w:p w:rsidR="002832E2" w:rsidRPr="00363288" w:rsidRDefault="002832E2" w:rsidP="002832E2">
      <w:pPr>
        <w:widowControl/>
        <w:suppressAutoHyphens w:val="0"/>
        <w:jc w:val="both"/>
        <w:rPr>
          <w:rFonts w:eastAsia="Calibri"/>
          <w:b/>
          <w:kern w:val="0"/>
          <w:sz w:val="22"/>
          <w:szCs w:val="22"/>
          <w:lang w:eastAsia="en-US"/>
        </w:rPr>
      </w:pPr>
    </w:p>
    <w:p w:rsidR="002832E2" w:rsidRPr="00444B19" w:rsidRDefault="002832E2" w:rsidP="002832E2">
      <w:pPr>
        <w:widowControl/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444B19">
        <w:rPr>
          <w:rFonts w:eastAsia="Calibri"/>
          <w:b/>
          <w:bCs/>
          <w:kern w:val="0"/>
          <w:sz w:val="22"/>
          <w:szCs w:val="22"/>
          <w:lang w:eastAsia="en-US"/>
        </w:rPr>
        <w:t xml:space="preserve">Требования к </w:t>
      </w:r>
      <w:r>
        <w:rPr>
          <w:rFonts w:eastAsia="Calibri"/>
          <w:b/>
          <w:bCs/>
          <w:kern w:val="0"/>
          <w:sz w:val="22"/>
          <w:szCs w:val="22"/>
          <w:lang w:eastAsia="en-US"/>
        </w:rPr>
        <w:t>Товару</w:t>
      </w:r>
      <w:r w:rsidRPr="00444B19">
        <w:rPr>
          <w:rFonts w:eastAsia="Calibri"/>
          <w:b/>
          <w:bCs/>
          <w:kern w:val="0"/>
          <w:sz w:val="22"/>
          <w:szCs w:val="22"/>
          <w:lang w:eastAsia="en-US"/>
        </w:rPr>
        <w:t>:</w:t>
      </w:r>
    </w:p>
    <w:p w:rsidR="002832E2" w:rsidRPr="00444B19" w:rsidRDefault="002832E2" w:rsidP="002832E2">
      <w:pPr>
        <w:widowControl/>
        <w:suppressAutoHyphens w:val="0"/>
        <w:spacing w:after="160" w:line="240" w:lineRule="atLeast"/>
        <w:ind w:firstLine="540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 xml:space="preserve">Закупка данного оборудования обусловлена </w:t>
      </w:r>
      <w:r w:rsidRPr="00444B19">
        <w:rPr>
          <w:rFonts w:eastAsia="Calibri"/>
          <w:kern w:val="0"/>
          <w:sz w:val="22"/>
          <w:szCs w:val="22"/>
          <w:lang w:eastAsia="ru-RU"/>
        </w:rPr>
        <w:t xml:space="preserve">необходимостью обеспечения взаимодействия </w:t>
      </w:r>
      <w:r w:rsidRPr="00444B19">
        <w:rPr>
          <w:rFonts w:eastAsia="Calibri"/>
          <w:kern w:val="0"/>
          <w:sz w:val="22"/>
          <w:szCs w:val="22"/>
          <w:lang w:eastAsia="en-US"/>
        </w:rPr>
        <w:t xml:space="preserve">приобретаемого оборудования с имеющимся оборудованием у Заказчика, согласно п.1 ч.1 ст. 33 Федерального закона от 05 Апреля 2013 г.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444B19">
        <w:rPr>
          <w:rFonts w:eastAsia="Calibri"/>
          <w:kern w:val="0"/>
          <w:sz w:val="22"/>
          <w:szCs w:val="22"/>
          <w:lang w:eastAsia="en-US"/>
        </w:rPr>
        <w:t xml:space="preserve">нужд» </w:t>
      </w:r>
      <w:r w:rsidRPr="00444B19">
        <w:rPr>
          <w:rFonts w:eastAsia="Calibri"/>
          <w:kern w:val="0"/>
          <w:sz w:val="22"/>
          <w:szCs w:val="22"/>
          <w:vertAlign w:val="superscript"/>
          <w:lang w:eastAsia="en-US"/>
        </w:rPr>
        <w:footnoteReference w:id="1"/>
      </w:r>
      <w:r w:rsidRPr="00444B19">
        <w:rPr>
          <w:rFonts w:eastAsia="Calibri"/>
          <w:kern w:val="0"/>
          <w:sz w:val="22"/>
          <w:szCs w:val="22"/>
          <w:lang w:eastAsia="en-US"/>
        </w:rPr>
        <w:t xml:space="preserve"> (</w:t>
      </w:r>
      <w:proofErr w:type="gramEnd"/>
      <w:r w:rsidRPr="00444B19">
        <w:rPr>
          <w:rFonts w:eastAsia="Calibri"/>
          <w:kern w:val="0"/>
          <w:sz w:val="22"/>
          <w:szCs w:val="22"/>
          <w:lang w:eastAsia="en-US"/>
        </w:rPr>
        <w:t>далее – Закон).</w:t>
      </w:r>
    </w:p>
    <w:p w:rsidR="002832E2" w:rsidRPr="00444B19" w:rsidRDefault="002832E2" w:rsidP="002832E2">
      <w:pPr>
        <w:widowControl/>
        <w:suppressAutoHyphens w:val="0"/>
        <w:spacing w:after="160" w:line="240" w:lineRule="atLeast"/>
        <w:ind w:firstLine="540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Закон не запрещает Заказчику самостоятельно определять предмет закупки и ее состав в соответствии со своей потребностью в том или ином товаре, а также Заказчик не лишен возможности более точно и четко указывать требования к закупаемому товару.</w:t>
      </w:r>
    </w:p>
    <w:p w:rsidR="002832E2" w:rsidRPr="00444B19" w:rsidRDefault="002832E2" w:rsidP="002832E2">
      <w:pPr>
        <w:widowControl/>
        <w:suppressAutoHyphens w:val="0"/>
        <w:spacing w:after="160" w:line="240" w:lineRule="atLeast"/>
        <w:ind w:firstLine="540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 xml:space="preserve">По смыслу статьи 33 Закона о Контрактной системе Заказчик устанавливает соответствующие требования к товару, исходя из своей потребности с учетом специфики его деятельности. Заказчик вправе при необходимости детализировать требования к закупаемому товару. При этом Закон не </w:t>
      </w:r>
      <w:r w:rsidRPr="00444B19">
        <w:rPr>
          <w:rFonts w:eastAsia="Calibri"/>
          <w:kern w:val="0"/>
          <w:sz w:val="22"/>
          <w:szCs w:val="22"/>
          <w:lang w:eastAsia="en-US"/>
        </w:rPr>
        <w:lastRenderedPageBreak/>
        <w:t>содержит норм, ограничивающих право заказчика включать в документацию о проведении электронного аукциона требования к объекту закупки, которые являются для него определяющими и значимыми, так и норм, обязывающих Заказчика устанавливать в документации такие требования к характеристикам объекта закупки, которые соответствовали бы всем существующим видам товаров, но не отвечающим его потребностям.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>Поставка товара производится Поставщиком в течение 20 (Двадцати) рабочих дней со дня заключения государственного контракта.</w:t>
      </w:r>
    </w:p>
    <w:p w:rsidR="002832E2" w:rsidRPr="00444B19" w:rsidRDefault="002832E2" w:rsidP="002832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>Поставляемый товар – новый (не восстановленный, не подверженный переработке или какой-либо модификации и не содержащий восстановленных элементов)</w:t>
      </w:r>
      <w:r w:rsidRPr="00444B19">
        <w:rPr>
          <w:rFonts w:eastAsia="Times New Roman"/>
          <w:b/>
          <w:kern w:val="0"/>
          <w:sz w:val="22"/>
          <w:szCs w:val="22"/>
          <w:lang w:eastAsia="ru-RU"/>
        </w:rPr>
        <w:t>,</w:t>
      </w:r>
      <w:r w:rsidRPr="00444B19">
        <w:rPr>
          <w:rFonts w:eastAsia="Times New Roman"/>
          <w:kern w:val="0"/>
          <w:sz w:val="22"/>
          <w:szCs w:val="22"/>
          <w:lang w:eastAsia="ru-RU"/>
        </w:rPr>
        <w:t xml:space="preserve"> должен быть заводского производства, а также иметь сертификаты соответствия (если данный товар подлежит сертификации) и гарантии Производителя и Поставщика.</w:t>
      </w:r>
    </w:p>
    <w:p w:rsidR="002832E2" w:rsidRPr="00444B19" w:rsidRDefault="002832E2" w:rsidP="002832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>Товар должен быть упакован в индивидуальные упаковочные картонные коробки.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 xml:space="preserve">Упаковочная картонная коробка товара обеспечивает сохранность при транспортировке и хранении. 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Товар должен отвечать: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- общим требованиям безопасности, электробезопасности и пожарной безопасности;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- товар не должен содержать и выделять при хранении и эксплуатации токсичных и агрессивных веществ.</w:t>
      </w:r>
    </w:p>
    <w:p w:rsidR="002832E2" w:rsidRPr="00444B19" w:rsidRDefault="002832E2" w:rsidP="002832E2">
      <w:pPr>
        <w:widowControl/>
        <w:tabs>
          <w:tab w:val="left" w:pos="709"/>
        </w:tabs>
        <w:suppressAutoHyphens w:val="0"/>
        <w:spacing w:after="160"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 xml:space="preserve">Гарантийное обслуживание осуществляется в следующем порядке: </w:t>
      </w:r>
    </w:p>
    <w:p w:rsidR="002832E2" w:rsidRPr="00444B19" w:rsidRDefault="002832E2" w:rsidP="002832E2">
      <w:pPr>
        <w:widowControl/>
        <w:tabs>
          <w:tab w:val="left" w:pos="709"/>
        </w:tabs>
        <w:suppressAutoHyphens w:val="0"/>
        <w:spacing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а) Гарантийный срок на товар – 36 месяцев с даты окончания поставки.</w:t>
      </w:r>
    </w:p>
    <w:p w:rsidR="002832E2" w:rsidRPr="00444B19" w:rsidRDefault="002832E2" w:rsidP="002832E2">
      <w:pPr>
        <w:widowControl/>
        <w:tabs>
          <w:tab w:val="left" w:pos="709"/>
        </w:tabs>
        <w:suppressAutoHyphens w:val="0"/>
        <w:spacing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 xml:space="preserve">б) Замена бракованного товара или его составляющих осуществляется за счет Поставщика. </w:t>
      </w:r>
    </w:p>
    <w:p w:rsidR="002832E2" w:rsidRPr="00444B19" w:rsidRDefault="002832E2" w:rsidP="002832E2">
      <w:pPr>
        <w:widowControl/>
        <w:tabs>
          <w:tab w:val="left" w:pos="709"/>
        </w:tabs>
        <w:suppressAutoHyphens w:val="0"/>
        <w:spacing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 xml:space="preserve">в) Поставщик обязан устранить недостатки или замену товара, в пределах гарантийного срока, в течение 5 рабочих дней с момента поступления заявки. </w:t>
      </w:r>
    </w:p>
    <w:p w:rsidR="002832E2" w:rsidRPr="00444B19" w:rsidRDefault="002832E2" w:rsidP="002832E2">
      <w:pPr>
        <w:widowControl/>
        <w:tabs>
          <w:tab w:val="left" w:pos="709"/>
        </w:tabs>
        <w:suppressAutoHyphens w:val="0"/>
        <w:spacing w:after="160"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г)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</w:t>
      </w:r>
    </w:p>
    <w:p w:rsidR="002832E2" w:rsidRPr="00444B19" w:rsidRDefault="002832E2" w:rsidP="002832E2">
      <w:pPr>
        <w:widowControl/>
        <w:tabs>
          <w:tab w:val="left" w:pos="709"/>
        </w:tabs>
        <w:suppressAutoHyphens w:val="0"/>
        <w:spacing w:after="160"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Доставка товара осуществляется транспортом Поставщика на склад Заказчика.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>Поставщик обязуется: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Поставщик обязуется выполнять гарантийное обслуживание поставляемого товара Заказчику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оборудования Заказчика,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в адрес Поставщика с указанием наименования, количества и дефекта бракованного товара по электронной почте с досылом или факсом.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kern w:val="0"/>
          <w:sz w:val="22"/>
          <w:szCs w:val="22"/>
          <w:lang w:eastAsia="en-US"/>
        </w:rPr>
      </w:pPr>
      <w:r w:rsidRPr="00444B19">
        <w:rPr>
          <w:rFonts w:eastAsia="Calibri"/>
          <w:kern w:val="0"/>
          <w:sz w:val="22"/>
          <w:szCs w:val="22"/>
          <w:lang w:eastAsia="en-US"/>
        </w:rPr>
        <w:t>Произвести замену дефектного товара аналогичным товаром.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 xml:space="preserve">Приемка товара осуществляется по качеству, в соответствии с требованиями, указанными в Контракте, и количеству в полном соответствии со спецификацией на поставку </w:t>
      </w:r>
      <w:r w:rsidRPr="00444B19">
        <w:rPr>
          <w:rFonts w:eastAsia="Times New Roman" w:cs="Courier New"/>
          <w:kern w:val="0"/>
          <w:sz w:val="22"/>
          <w:szCs w:val="22"/>
          <w:lang w:eastAsia="ru-RU"/>
        </w:rPr>
        <w:t>автоматизированных рабочих мест</w:t>
      </w:r>
      <w:r w:rsidRPr="00444B19">
        <w:rPr>
          <w:rFonts w:eastAsia="Times New Roman"/>
          <w:kern w:val="0"/>
          <w:sz w:val="22"/>
          <w:szCs w:val="22"/>
          <w:lang w:eastAsia="ru-RU"/>
        </w:rPr>
        <w:t>. Заказчик осуществляет приемку товара на основании товарной накладной в присутствии представителя Поставщика. С товаром Заказчику передаются товарные накладные, копии сертификатов на поставляемый товар.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>Датой поставки товара считается день подписания Сторонами товарной накладной. Некачественный и (или) некомплектный товар считается не поставленным.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>В случае выявления несоответствия поставляемого товара условиям настоящего Контракта, Заказчик немедленно уведомляет об этом Поставщика, составляет акт устранения недостатков и направляет его Поставщику.</w:t>
      </w:r>
    </w:p>
    <w:p w:rsidR="002832E2" w:rsidRPr="00444B19" w:rsidRDefault="002832E2" w:rsidP="002832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 xml:space="preserve">Поставщик обязан в течение 5 (пяти) рабочих дней с момента получения указанного акта устранить выявленные недостатки за свой счет. </w:t>
      </w:r>
    </w:p>
    <w:p w:rsidR="002832E2" w:rsidRPr="00444B19" w:rsidRDefault="002832E2" w:rsidP="002832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Times New Roman"/>
          <w:bCs/>
          <w:kern w:val="0"/>
          <w:sz w:val="22"/>
          <w:szCs w:val="22"/>
          <w:lang w:eastAsia="ru-RU"/>
        </w:rPr>
      </w:pPr>
      <w:r w:rsidRPr="00444B19">
        <w:rPr>
          <w:rFonts w:eastAsia="Times New Roman"/>
          <w:kern w:val="0"/>
          <w:sz w:val="22"/>
          <w:szCs w:val="22"/>
          <w:lang w:eastAsia="ru-RU"/>
        </w:rPr>
        <w:t xml:space="preserve">Поставляемый товар должен соответствовать </w:t>
      </w:r>
      <w:r w:rsidRPr="00444B19">
        <w:rPr>
          <w:rFonts w:eastAsia="Times New Roman"/>
          <w:bCs/>
          <w:kern w:val="0"/>
          <w:sz w:val="22"/>
          <w:szCs w:val="22"/>
          <w:lang w:eastAsia="ru-RU"/>
        </w:rPr>
        <w:t xml:space="preserve">ГОСТ 25868-91 «Оборудование периферийное систем обработки информации. Термины и определения», ГОСТ 21776-87 «Устройства </w:t>
      </w:r>
      <w:r w:rsidRPr="00444B19">
        <w:rPr>
          <w:rFonts w:eastAsia="Times New Roman"/>
          <w:bCs/>
          <w:kern w:val="0"/>
          <w:sz w:val="22"/>
          <w:szCs w:val="22"/>
          <w:lang w:eastAsia="ru-RU"/>
        </w:rPr>
        <w:lastRenderedPageBreak/>
        <w:t xml:space="preserve">печатающие. Общие технические условия», </w:t>
      </w:r>
      <w:r w:rsidRPr="00444B19">
        <w:rPr>
          <w:rFonts w:eastAsia="Times New Roman"/>
          <w:kern w:val="0"/>
          <w:sz w:val="22"/>
          <w:szCs w:val="22"/>
          <w:lang w:eastAsia="ru-RU"/>
        </w:rPr>
        <w:t>ГОСТ Р МЭК 62040-1-1-2009 «Источники бесперебойного питания»</w:t>
      </w:r>
      <w:r w:rsidRPr="00444B19">
        <w:rPr>
          <w:rFonts w:eastAsia="Times New Roman"/>
          <w:bCs/>
          <w:kern w:val="0"/>
          <w:sz w:val="22"/>
          <w:szCs w:val="22"/>
          <w:lang w:eastAsia="ru-RU"/>
        </w:rPr>
        <w:t>.</w:t>
      </w:r>
    </w:p>
    <w:p w:rsidR="002832E2" w:rsidRPr="00444B19" w:rsidRDefault="002832E2" w:rsidP="002832E2">
      <w:pPr>
        <w:tabs>
          <w:tab w:val="num" w:pos="432"/>
        </w:tabs>
        <w:ind w:firstLine="709"/>
        <w:jc w:val="both"/>
        <w:rPr>
          <w:rFonts w:eastAsia="Arial Unicode MS"/>
          <w:kern w:val="2"/>
          <w:sz w:val="22"/>
          <w:szCs w:val="22"/>
        </w:rPr>
      </w:pPr>
      <w:r w:rsidRPr="00444B19">
        <w:rPr>
          <w:rFonts w:eastAsia="Arial Unicode MS"/>
          <w:sz w:val="22"/>
          <w:szCs w:val="22"/>
        </w:rPr>
        <w:t xml:space="preserve">В соответствии с Правилами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утвержденных Постановлением Правительства РФ от 31 декабря 2009 г. N 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 для бытовых энергопотребляющих устройств (МФУ, ИБП) должно быть указано наличие класса энергетической эффективности не ниже первых двух наивысших классов (А,В). </w:t>
      </w:r>
    </w:p>
    <w:p w:rsidR="002832E2" w:rsidRPr="00444B19" w:rsidRDefault="002832E2" w:rsidP="002832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Times New Roman CYR" w:cs="Times New Roman CYR"/>
          <w:color w:val="000000"/>
          <w:spacing w:val="-1"/>
          <w:sz w:val="22"/>
          <w:szCs w:val="22"/>
          <w:lang w:eastAsia="en-US" w:bidi="en-US"/>
        </w:rPr>
      </w:pPr>
    </w:p>
    <w:p w:rsidR="002832E2" w:rsidRPr="002832E2" w:rsidRDefault="002832E2" w:rsidP="002832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Times New Roman CYR" w:cs="Times New Roman CYR"/>
          <w:color w:val="000000"/>
          <w:spacing w:val="-1"/>
          <w:sz w:val="22"/>
          <w:szCs w:val="22"/>
          <w:u w:val="single"/>
          <w:lang w:eastAsia="en-US" w:bidi="en-US"/>
        </w:rPr>
      </w:pPr>
      <w:r w:rsidRPr="00BD708F">
        <w:rPr>
          <w:rFonts w:eastAsia="Times New Roman"/>
          <w:bCs/>
          <w:kern w:val="0"/>
          <w:sz w:val="22"/>
          <w:szCs w:val="22"/>
          <w:lang w:eastAsia="ru-RU"/>
        </w:rPr>
        <w:t xml:space="preserve">          </w:t>
      </w:r>
      <w:r>
        <w:rPr>
          <w:b/>
          <w:sz w:val="22"/>
          <w:szCs w:val="22"/>
        </w:rPr>
        <w:t>Срок поставки</w:t>
      </w:r>
      <w:r>
        <w:rPr>
          <w:sz w:val="22"/>
          <w:szCs w:val="22"/>
        </w:rPr>
        <w:t>: в</w:t>
      </w:r>
      <w:r w:rsidRPr="00EB213E">
        <w:rPr>
          <w:sz w:val="22"/>
          <w:szCs w:val="22"/>
        </w:rPr>
        <w:t xml:space="preserve"> течение 20 (Двадцати) рабочих дней с момента заключения контракта</w:t>
      </w:r>
      <w:r>
        <w:rPr>
          <w:sz w:val="22"/>
          <w:szCs w:val="22"/>
        </w:rPr>
        <w:t>.</w:t>
      </w:r>
    </w:p>
    <w:p w:rsidR="002832E2" w:rsidRDefault="002832E2" w:rsidP="002832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9" w:lineRule="auto"/>
        <w:jc w:val="both"/>
        <w:rPr>
          <w:rStyle w:val="a3"/>
          <w:rFonts w:eastAsia="Times New Roman CYR" w:cs="Times New Roman CYR"/>
          <w:color w:val="000000"/>
          <w:spacing w:val="-1"/>
          <w:sz w:val="22"/>
          <w:szCs w:val="22"/>
          <w:lang w:eastAsia="en-US" w:bidi="en-US"/>
        </w:rPr>
      </w:pPr>
    </w:p>
    <w:tbl>
      <w:tblPr>
        <w:tblW w:w="532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1559"/>
        <w:gridCol w:w="1276"/>
      </w:tblGrid>
      <w:tr w:rsidR="002832E2" w:rsidRPr="00BD21F1" w:rsidTr="002832E2">
        <w:trPr>
          <w:trHeight w:hRule="exact" w:val="175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D21F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Цена за единицу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Товара</w:t>
            </w:r>
            <w:r w:rsidRPr="00BD21F1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D21F1">
              <w:rPr>
                <w:b/>
                <w:bCs/>
                <w:sz w:val="20"/>
                <w:szCs w:val="20"/>
              </w:rPr>
              <w:t>Кол-во, шт.</w:t>
            </w:r>
          </w:p>
        </w:tc>
      </w:tr>
      <w:tr w:rsidR="002832E2" w:rsidRPr="00BD21F1" w:rsidTr="002832E2">
        <w:trPr>
          <w:trHeight w:val="43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21F1">
              <w:rPr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BD21F1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21F1">
              <w:rPr>
                <w:bCs/>
                <w:sz w:val="20"/>
                <w:szCs w:val="20"/>
              </w:rPr>
              <w:t>893,33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BD21F1">
              <w:rPr>
                <w:sz w:val="20"/>
                <w:szCs w:val="20"/>
              </w:rPr>
              <w:t>44</w:t>
            </w:r>
          </w:p>
        </w:tc>
      </w:tr>
      <w:tr w:rsidR="002832E2" w:rsidRPr="00BD21F1" w:rsidTr="002832E2">
        <w:trPr>
          <w:trHeight w:val="43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E2" w:rsidRPr="008D2BE6" w:rsidRDefault="002832E2" w:rsidP="00BB13A3">
            <w:pPr>
              <w:jc w:val="center"/>
              <w:rPr>
                <w:bCs/>
                <w:sz w:val="20"/>
                <w:szCs w:val="20"/>
              </w:rPr>
            </w:pPr>
            <w:r w:rsidRPr="008D2BE6">
              <w:rPr>
                <w:bCs/>
                <w:sz w:val="20"/>
                <w:szCs w:val="20"/>
              </w:rPr>
              <w:t>35 726,67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BD21F1">
              <w:rPr>
                <w:sz w:val="20"/>
                <w:szCs w:val="20"/>
              </w:rPr>
              <w:t>14</w:t>
            </w:r>
          </w:p>
        </w:tc>
      </w:tr>
      <w:tr w:rsidR="002832E2" w:rsidRPr="00BD21F1" w:rsidTr="002832E2">
        <w:trPr>
          <w:trHeight w:val="43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BD21F1">
              <w:rPr>
                <w:color w:val="000000"/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E2" w:rsidRPr="008D2BE6" w:rsidRDefault="002832E2" w:rsidP="00BB13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198 200,00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BD21F1">
              <w:rPr>
                <w:sz w:val="20"/>
                <w:szCs w:val="20"/>
              </w:rPr>
              <w:t>3</w:t>
            </w:r>
          </w:p>
        </w:tc>
      </w:tr>
      <w:tr w:rsidR="002832E2" w:rsidRPr="00BD21F1" w:rsidTr="002832E2">
        <w:trPr>
          <w:trHeight w:val="43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rPr>
                <w:color w:val="000000"/>
                <w:sz w:val="20"/>
                <w:szCs w:val="20"/>
              </w:rPr>
            </w:pPr>
            <w:r w:rsidRPr="00BD21F1">
              <w:rPr>
                <w:color w:val="000000"/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E2" w:rsidRPr="008D2BE6" w:rsidRDefault="002832E2" w:rsidP="00BB13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49 783,33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E2" w:rsidRPr="00BD21F1" w:rsidRDefault="002832E2" w:rsidP="00BB13A3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BD21F1">
              <w:rPr>
                <w:sz w:val="20"/>
                <w:szCs w:val="20"/>
              </w:rPr>
              <w:t>14</w:t>
            </w:r>
          </w:p>
        </w:tc>
      </w:tr>
    </w:tbl>
    <w:p w:rsidR="00200FCC" w:rsidRPr="002832E2" w:rsidRDefault="00200FCC" w:rsidP="002832E2"/>
    <w:sectPr w:rsidR="00200FCC" w:rsidRPr="0028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25" w:rsidRDefault="005A4F25" w:rsidP="00200FCC">
      <w:r>
        <w:separator/>
      </w:r>
    </w:p>
  </w:endnote>
  <w:endnote w:type="continuationSeparator" w:id="0">
    <w:p w:rsidR="005A4F25" w:rsidRDefault="005A4F25" w:rsidP="002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25" w:rsidRDefault="005A4F25" w:rsidP="00200FCC">
      <w:r>
        <w:separator/>
      </w:r>
    </w:p>
  </w:footnote>
  <w:footnote w:type="continuationSeparator" w:id="0">
    <w:p w:rsidR="005A4F25" w:rsidRDefault="005A4F25" w:rsidP="00200FCC">
      <w:r>
        <w:continuationSeparator/>
      </w:r>
    </w:p>
  </w:footnote>
  <w:footnote w:id="1">
    <w:p w:rsidR="002832E2" w:rsidRPr="00695E31" w:rsidRDefault="002832E2" w:rsidP="002832E2">
      <w:pPr>
        <w:ind w:firstLine="540"/>
        <w:jc w:val="both"/>
        <w:rPr>
          <w:sz w:val="16"/>
          <w:szCs w:val="16"/>
        </w:rPr>
      </w:pPr>
      <w:r w:rsidRPr="00695E31">
        <w:rPr>
          <w:rStyle w:val="a5"/>
          <w:sz w:val="16"/>
          <w:szCs w:val="16"/>
        </w:rPr>
        <w:footnoteRef/>
      </w:r>
      <w:r w:rsidRPr="00695E31">
        <w:rPr>
          <w:sz w:val="16"/>
          <w:szCs w:val="16"/>
        </w:rPr>
        <w:t xml:space="preserve"> «При этом обязательным условием является включение в описание объекта закупки слов "или эквивалент", </w:t>
      </w:r>
      <w:r w:rsidRPr="00695E31">
        <w:rPr>
          <w:sz w:val="16"/>
          <w:szCs w:val="16"/>
          <w:u w:val="single"/>
        </w:rPr>
        <w:t>за исключением случаев</w:t>
      </w:r>
      <w:r w:rsidRPr="00695E31">
        <w:rPr>
          <w:sz w:val="16"/>
          <w:szCs w:val="16"/>
        </w:rPr>
        <w:t xml:space="preserve">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</w:t>
      </w:r>
      <w:r w:rsidRPr="00926D79">
        <w:rPr>
          <w:sz w:val="16"/>
          <w:szCs w:val="16"/>
        </w:rPr>
        <w:t>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 w:rsidRPr="00695E31">
        <w:rPr>
          <w:sz w:val="16"/>
          <w:szCs w:val="16"/>
        </w:rPr>
        <w:t>» (</w:t>
      </w:r>
      <w:r>
        <w:rPr>
          <w:sz w:val="16"/>
          <w:szCs w:val="16"/>
        </w:rPr>
        <w:t>ФЗ от 05.04.</w:t>
      </w:r>
      <w:r w:rsidRPr="00695E31">
        <w:rPr>
          <w:sz w:val="16"/>
          <w:szCs w:val="16"/>
        </w:rPr>
        <w:t>2013г. № 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sz w:val="16"/>
          <w:szCs w:val="16"/>
        </w:rPr>
        <w:t>.</w:t>
      </w:r>
    </w:p>
    <w:p w:rsidR="002832E2" w:rsidRDefault="002832E2" w:rsidP="002832E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CC"/>
    <w:rsid w:val="000D263C"/>
    <w:rsid w:val="00200FCC"/>
    <w:rsid w:val="00260CCD"/>
    <w:rsid w:val="002832E2"/>
    <w:rsid w:val="00327409"/>
    <w:rsid w:val="003A2301"/>
    <w:rsid w:val="003F2E65"/>
    <w:rsid w:val="004913A9"/>
    <w:rsid w:val="00532AAD"/>
    <w:rsid w:val="00544E12"/>
    <w:rsid w:val="005A4F25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1B1E-4E6C-4A93-ABED-C9DB3C27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FCC"/>
    <w:rPr>
      <w:color w:val="0000FF"/>
      <w:u w:val="single"/>
    </w:rPr>
  </w:style>
  <w:style w:type="character" w:customStyle="1" w:styleId="postbody1">
    <w:name w:val="postbody1"/>
    <w:rsid w:val="00200FCC"/>
    <w:rPr>
      <w:sz w:val="18"/>
      <w:szCs w:val="18"/>
    </w:rPr>
  </w:style>
  <w:style w:type="paragraph" w:customStyle="1" w:styleId="a4">
    <w:name w:val="Содержимое таблицы"/>
    <w:basedOn w:val="a"/>
    <w:rsid w:val="00200FCC"/>
    <w:pPr>
      <w:suppressLineNumbers/>
    </w:pPr>
  </w:style>
  <w:style w:type="paragraph" w:customStyle="1" w:styleId="ConsPlusNormal">
    <w:name w:val="ConsPlusNormal"/>
    <w:rsid w:val="00200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footnote reference"/>
    <w:rsid w:val="00200FCC"/>
    <w:rPr>
      <w:vertAlign w:val="superscript"/>
    </w:rPr>
  </w:style>
  <w:style w:type="paragraph" w:customStyle="1" w:styleId="ConsPlusNonformat">
    <w:name w:val="ConsPlusNonformat"/>
    <w:rsid w:val="00200F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200FCC"/>
    <w:pPr>
      <w:suppressLineNumbers/>
      <w:ind w:left="283" w:hanging="283"/>
    </w:pPr>
    <w:rPr>
      <w:rFonts w:cs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200FCC"/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character" w:customStyle="1" w:styleId="ng-binding">
    <w:name w:val="ng-binding"/>
    <w:rsid w:val="0020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3245</Words>
  <Characters>18501</Characters>
  <Application>Microsoft Office Word</Application>
  <DocSecurity>0</DocSecurity>
  <Lines>154</Lines>
  <Paragraphs>43</Paragraphs>
  <ScaleCrop>false</ScaleCrop>
  <Company/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Дудоровская Анна Михайловна</cp:lastModifiedBy>
  <cp:revision>2</cp:revision>
  <dcterms:created xsi:type="dcterms:W3CDTF">2021-03-11T08:14:00Z</dcterms:created>
  <dcterms:modified xsi:type="dcterms:W3CDTF">2021-05-28T04:30:00Z</dcterms:modified>
</cp:coreProperties>
</file>