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C260" w14:textId="7430F0AD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Техническое задание</w:t>
      </w:r>
      <w:r w:rsidR="000E62EE"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47C8B"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на поставку оборудования для обеспечения видеоконференцсвязи и криптозащиты информации</w:t>
      </w:r>
    </w:p>
    <w:p w14:paraId="4A2AA51B" w14:textId="77777777" w:rsidR="002D2072" w:rsidRPr="008859F2" w:rsidRDefault="002D2072">
      <w:p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0CDA8B" w14:textId="77777777" w:rsidR="002D2072" w:rsidRPr="008859F2" w:rsidRDefault="00304424">
      <w:p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положения</w:t>
      </w:r>
    </w:p>
    <w:p w14:paraId="4528E940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осуществить поставку оборудования для обеспечения видеоконференцсвязи (далее ВКС) и криптозащиты информации (далее СКЗИ) и произвести необходимые настройки, достаточные для обеспечения его эксплуатации в местах поставки. </w:t>
      </w:r>
    </w:p>
    <w:p w14:paraId="4D892586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Поставка оборудования (далее – Товар) должна быть выполнена согласно требованиям настоящего Технического задания (далее – ТЗ). Перечень и технические характеристики Товара представлены в Приложении А к ТЗ.</w:t>
      </w:r>
    </w:p>
    <w:p w14:paraId="21716763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В ходе выполнения Контракта Поставщик производит настройку оборудования. Настройка должна производиться согласно требованиям ТЗ.</w:t>
      </w:r>
    </w:p>
    <w:p w14:paraId="16981569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Поставка осуществляется в помещениях Центров реабилитации (далее ЦР) и Центра обработки данных (далее ЦОД) (далее - Получатели), в соответствии с разнарядкой:</w:t>
      </w:r>
    </w:p>
    <w:p w14:paraId="637A2BD1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Завершение настроек всего поставляемого Товара должно быть осуществлено не позднее, чем через 150 календарных дней с даты заключения Контракта.</w:t>
      </w:r>
    </w:p>
    <w:p w14:paraId="60EFE67D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качеству поставляемого Товара</w:t>
      </w:r>
    </w:p>
    <w:p w14:paraId="6E6A2306" w14:textId="26992AC0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Весь Товар должен 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>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 и с официальной гарантией от производителя.</w:t>
      </w:r>
    </w:p>
    <w:p w14:paraId="78CE804F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На корпусе Товара должна присутствовать маркировка производителя, его товарный знак с указанием необходимой идентифицирующей информации.</w:t>
      </w:r>
    </w:p>
    <w:p w14:paraId="6DA7DB2F" w14:textId="77777777" w:rsidR="002D2072" w:rsidRPr="008859F2" w:rsidRDefault="002D207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0999A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гарантийного обслуживания</w:t>
      </w:r>
    </w:p>
    <w:p w14:paraId="556188C7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Срок гарантийного обслуживания Товара – не менее 36 (тридцати шести) месяцев. </w:t>
      </w:r>
    </w:p>
    <w:p w14:paraId="19C92059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комплектации</w:t>
      </w:r>
    </w:p>
    <w:p w14:paraId="53EAB8F1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Предлагаемый к поставке Товар должен быть работоспособным и содержать все комплектующие, необходимые для обеспечения этого требования.</w:t>
      </w:r>
    </w:p>
    <w:p w14:paraId="6EC5E1BF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Весь Товар должен быть обеспечен необходимыми кабельными соединениями для нормальной эксплуатации.</w:t>
      </w:r>
    </w:p>
    <w:p w14:paraId="38724151" w14:textId="77777777" w:rsidR="002D2072" w:rsidRPr="008859F2" w:rsidRDefault="002D207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08DAE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поставке Товара</w:t>
      </w:r>
    </w:p>
    <w:p w14:paraId="51880A1A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Товар должен поставляться в стандартной упаковке изготовителя, с указанием информации об изготовителе и Товаре, с учетом необходимых маркировок:</w:t>
      </w:r>
    </w:p>
    <w:p w14:paraId="6AF862A1" w14:textId="77777777" w:rsidR="002D2072" w:rsidRPr="008859F2" w:rsidRDefault="00304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тип товара;</w:t>
      </w:r>
    </w:p>
    <w:p w14:paraId="55ECBCDD" w14:textId="77777777" w:rsidR="002D2072" w:rsidRPr="008859F2" w:rsidRDefault="00304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номер партии на коробке и на товаре (если производителем установлено его наличие) должны совпадать;</w:t>
      </w:r>
    </w:p>
    <w:p w14:paraId="76164638" w14:textId="77777777" w:rsidR="002D2072" w:rsidRPr="008859F2" w:rsidRDefault="00304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производителе, его товарный знак;   </w:t>
      </w:r>
    </w:p>
    <w:p w14:paraId="4F90CDAD" w14:textId="77777777" w:rsidR="002D2072" w:rsidRPr="008859F2" w:rsidRDefault="003044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иная информация, которую производитель сочтёт необходимым разместить.</w:t>
      </w:r>
    </w:p>
    <w:p w14:paraId="012F3F17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Упаковка не должна содержать следов ударов, разрывов, помятостей и вскрытия.</w:t>
      </w:r>
    </w:p>
    <w:p w14:paraId="0C9415A6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 внутри должен быть упакован в неповреждённую упаковку, предохраняющую от повреждения, от воздействия влаги и света.</w:t>
      </w:r>
    </w:p>
    <w:p w14:paraId="280F2EF0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Внутри упаковки должны быть приложены инструкция по пользованию, а также другая сопроводительная документация, которая должна включать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с поставляемым Товаром. </w:t>
      </w:r>
    </w:p>
    <w:p w14:paraId="698883EA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Транспортировка Товара к месту доставки, погрузочно-разгрузочные работы в помещениях Заказчика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 xml:space="preserve"> и Получателей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>, в том числе подъем на этаж, осуществляются силами Поставщика.</w:t>
      </w:r>
    </w:p>
    <w:p w14:paraId="35399E95" w14:textId="77777777" w:rsidR="00304424" w:rsidRPr="008859F2" w:rsidRDefault="00304424" w:rsidP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Условия хранения и транспортировки Товара должны соответствовать требованиям, указанным в нормативной документации изготовителя на готовую продукцию, утвержденную в установленном порядке. Поставщик несет ответственность за ненадлежащую упаковку Товара, не обеспечивающую его сохранность.</w:t>
      </w:r>
    </w:p>
    <w:p w14:paraId="7E8591F1" w14:textId="77777777" w:rsidR="00304424" w:rsidRPr="008859F2" w:rsidRDefault="00304424" w:rsidP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CC641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8" w:space="1" w:color="4F81BD"/>
          <w:right w:val="nil"/>
          <w:between w:val="nil"/>
        </w:pBd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sz w:val="24"/>
          <w:szCs w:val="24"/>
        </w:rPr>
        <w:t>Настройка оборудования</w:t>
      </w:r>
    </w:p>
    <w:p w14:paraId="678EA79E" w14:textId="77777777" w:rsidR="002D2072" w:rsidRPr="008859F2" w:rsidRDefault="00304424">
      <w:pPr>
        <w:pBdr>
          <w:top w:val="nil"/>
          <w:left w:val="nil"/>
          <w:bottom w:val="single" w:sz="4" w:space="1" w:color="95B3D7"/>
          <w:right w:val="nil"/>
          <w:between w:val="nil"/>
        </w:pBdr>
        <w:spacing w:before="200" w:after="8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6C149D6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Поставщик Осуществляет настройку Товара </w:t>
      </w:r>
    </w:p>
    <w:p w14:paraId="203A9719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По завершению настройки Поставщик разрабатывает и передает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 xml:space="preserve"> Заказчикам и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конфигурационные файлы для каждого устройства.</w:t>
      </w:r>
    </w:p>
    <w:p w14:paraId="02C35355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 xml:space="preserve"> и Получатель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работоспособности настроенного Товара после подключения его к электропитанию и Сети.</w:t>
      </w:r>
    </w:p>
    <w:p w14:paraId="1A608EAA" w14:textId="77777777" w:rsidR="00594732" w:rsidRPr="008859F2" w:rsidRDefault="00304424" w:rsidP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4732" w:rsidRPr="008859F2">
          <w:headerReference w:type="default" r:id="rId7"/>
          <w:footerReference w:type="even" r:id="rId8"/>
          <w:headerReference w:type="first" r:id="rId9"/>
          <w:pgSz w:w="11906" w:h="16838"/>
          <w:pgMar w:top="238" w:right="567" w:bottom="1418" w:left="1134" w:header="709" w:footer="709" w:gutter="0"/>
          <w:pgNumType w:start="1"/>
          <w:cols w:space="720"/>
          <w:titlePg/>
        </w:sect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Настройка Товара должна проводиться в рабочие часы 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 xml:space="preserve">Заказчика и 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Получателей. Часть настроек, приводящая к перерыву существующего сервиса, по заявке </w:t>
      </w:r>
      <w:r w:rsidR="000E62EE" w:rsidRPr="008859F2">
        <w:rPr>
          <w:rFonts w:ascii="Times New Roman" w:eastAsia="Times New Roman" w:hAnsi="Times New Roman" w:cs="Times New Roman"/>
          <w:sz w:val="24"/>
          <w:szCs w:val="24"/>
        </w:rPr>
        <w:t xml:space="preserve">Заказчика и </w:t>
      </w:r>
      <w:r w:rsidRPr="008859F2">
        <w:rPr>
          <w:rFonts w:ascii="Times New Roman" w:eastAsia="Times New Roman" w:hAnsi="Times New Roman" w:cs="Times New Roman"/>
          <w:sz w:val="24"/>
          <w:szCs w:val="24"/>
        </w:rPr>
        <w:t>Получателей должна быть проведена в нерабочее время.</w:t>
      </w:r>
    </w:p>
    <w:p w14:paraId="054DDEBD" w14:textId="77777777" w:rsidR="002D2072" w:rsidRPr="008859F2" w:rsidRDefault="00304424">
      <w:pPr>
        <w:numPr>
          <w:ilvl w:val="0"/>
          <w:numId w:val="17"/>
        </w:numPr>
        <w:pBdr>
          <w:top w:val="nil"/>
          <w:left w:val="nil"/>
          <w:bottom w:val="single" w:sz="12" w:space="1" w:color="366091"/>
          <w:right w:val="nil"/>
          <w:between w:val="nil"/>
        </w:pBdr>
        <w:spacing w:before="600" w:after="80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Срок поставки и настройки.</w:t>
      </w:r>
    </w:p>
    <w:p w14:paraId="1766AE03" w14:textId="77777777" w:rsidR="002D2072" w:rsidRPr="008859F2" w:rsidRDefault="0030442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Срок поставки и настройки товара - 150 Календарных дней</w:t>
      </w:r>
    </w:p>
    <w:p w14:paraId="148E0527" w14:textId="77777777" w:rsidR="00647C8B" w:rsidRPr="008859F2" w:rsidRDefault="00647C8B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E6927" w14:textId="77777777" w:rsidR="002D2072" w:rsidRPr="008859F2" w:rsidRDefault="00304424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поставляемого оборудования и ПО</w:t>
      </w:r>
    </w:p>
    <w:p w14:paraId="6484E29E" w14:textId="77777777" w:rsidR="000E62EE" w:rsidRPr="008859F2" w:rsidRDefault="000E62EE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DF480" w14:textId="125C3B83" w:rsidR="000E62EE" w:rsidRPr="008859F2" w:rsidRDefault="000E62EE" w:rsidP="009269D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 1 </w:t>
      </w:r>
      <w:proofErr w:type="spellStart"/>
      <w:r w:rsidRPr="008859F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859F2">
        <w:rPr>
          <w:rFonts w:ascii="Times New Roman" w:eastAsia="Times New Roman" w:hAnsi="Times New Roman" w:cs="Times New Roman"/>
          <w:sz w:val="24"/>
          <w:szCs w:val="24"/>
        </w:rPr>
        <w:t>. 1 ст. 33 Федерального закона №44-ФЗ использование в описании объекта закупки указания на товарный знак обусловлено необходимостью обеспечения взаимодействия таких товаров с товарами, используемыми Заказчиком.</w:t>
      </w:r>
    </w:p>
    <w:p w14:paraId="62998E11" w14:textId="77777777" w:rsidR="002D2072" w:rsidRPr="008859F2" w:rsidRDefault="00304424" w:rsidP="000E62EE">
      <w:pPr>
        <w:pStyle w:val="2"/>
        <w:rPr>
          <w:rFonts w:ascii="Times New Roman" w:eastAsia="Times New Roman" w:hAnsi="Times New Roman" w:cs="Times New Roman"/>
          <w:color w:val="000000"/>
        </w:rPr>
      </w:pPr>
      <w:r w:rsidRPr="008859F2">
        <w:rPr>
          <w:rFonts w:ascii="Times New Roman" w:eastAsia="Times New Roman" w:hAnsi="Times New Roman" w:cs="Times New Roman"/>
          <w:color w:val="000000"/>
        </w:rPr>
        <w:t xml:space="preserve"> Оборудование и ПО СКЗИ</w:t>
      </w: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0773"/>
        <w:gridCol w:w="2126"/>
        <w:gridCol w:w="1134"/>
      </w:tblGrid>
      <w:tr w:rsidR="002D2072" w:rsidRPr="008859F2" w14:paraId="78F0CF58" w14:textId="77777777" w:rsidTr="00460CA1">
        <w:tc>
          <w:tcPr>
            <w:tcW w:w="988" w:type="dxa"/>
            <w:vAlign w:val="center"/>
          </w:tcPr>
          <w:p w14:paraId="37EC0B87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14:paraId="7582FC5A" w14:textId="77777777" w:rsidR="002D2072" w:rsidRPr="008859F2" w:rsidRDefault="00304424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2126" w:type="dxa"/>
          </w:tcPr>
          <w:p w14:paraId="3D17FF62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Модель </w:t>
            </w:r>
          </w:p>
        </w:tc>
        <w:tc>
          <w:tcPr>
            <w:tcW w:w="1134" w:type="dxa"/>
          </w:tcPr>
          <w:p w14:paraId="5CAD21A6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2D2072" w:rsidRPr="008859F2" w14:paraId="0C73D770" w14:textId="77777777" w:rsidTr="00460CA1">
        <w:trPr>
          <w:trHeight w:val="603"/>
        </w:trPr>
        <w:tc>
          <w:tcPr>
            <w:tcW w:w="988" w:type="dxa"/>
            <w:vAlign w:val="center"/>
          </w:tcPr>
          <w:p w14:paraId="494F4E57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027D44B0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Форм-фактор 1U в укороченном корпусе</w:t>
            </w:r>
          </w:p>
          <w:p w14:paraId="1AC0C8B1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Встроенный блок питания мощностью 500 Вт, </w:t>
            </w:r>
          </w:p>
          <w:p w14:paraId="70DFDCFB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Потребляемая мощность 310 Вт</w:t>
            </w:r>
          </w:p>
          <w:p w14:paraId="572D803E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2 процессора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Intel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Xeon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E5-2609v3 (6 ядер каждый)</w:t>
            </w:r>
          </w:p>
          <w:p w14:paraId="079DBC7E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Оперативная память от 4 Гбайт</w:t>
            </w:r>
          </w:p>
          <w:p w14:paraId="4954EBD0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Накопители SSD от 2 Гбайт</w:t>
            </w:r>
          </w:p>
          <w:p w14:paraId="59E773B0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HDD от 500 Гбайт</w:t>
            </w:r>
          </w:p>
          <w:p w14:paraId="1F4DFAB6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Сетевые порты 4 порта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Ethernet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RJ45 10/100/1000 Мбит/с</w:t>
            </w:r>
          </w:p>
          <w:p w14:paraId="0D97CE72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 xml:space="preserve">2 </w:t>
            </w:r>
            <w:r w:rsidRPr="008859F2">
              <w:rPr>
                <w:b w:val="0"/>
                <w:color w:val="000000"/>
                <w:sz w:val="24"/>
                <w:szCs w:val="24"/>
              </w:rPr>
              <w:t>порта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 xml:space="preserve"> Intel Ethernet SFP+ 10 </w:t>
            </w:r>
            <w:r w:rsidRPr="008859F2">
              <w:rPr>
                <w:b w:val="0"/>
                <w:color w:val="000000"/>
                <w:sz w:val="24"/>
                <w:szCs w:val="24"/>
              </w:rPr>
              <w:t>Гбит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>/</w:t>
            </w:r>
            <w:r w:rsidRPr="008859F2">
              <w:rPr>
                <w:b w:val="0"/>
                <w:color w:val="000000"/>
                <w:sz w:val="24"/>
                <w:szCs w:val="24"/>
              </w:rPr>
              <w:t>с</w:t>
            </w:r>
          </w:p>
          <w:p w14:paraId="13D792FB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 xml:space="preserve">2 </w:t>
            </w:r>
            <w:r w:rsidRPr="008859F2">
              <w:rPr>
                <w:b w:val="0"/>
                <w:color w:val="000000"/>
                <w:sz w:val="24"/>
                <w:szCs w:val="24"/>
              </w:rPr>
              <w:t>порта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 xml:space="preserve"> Avago Ethernet SFP+ 10 </w:t>
            </w:r>
            <w:r w:rsidRPr="008859F2">
              <w:rPr>
                <w:b w:val="0"/>
                <w:color w:val="000000"/>
                <w:sz w:val="24"/>
                <w:szCs w:val="24"/>
              </w:rPr>
              <w:t>Гбит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>/c</w:t>
            </w:r>
          </w:p>
          <w:p w14:paraId="502E5710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Порты ввода-вывода VGA</w:t>
            </w:r>
          </w:p>
          <w:p w14:paraId="1CCEDD47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PS/2-порт для подключения клавиатуры или мыши</w:t>
            </w:r>
          </w:p>
          <w:p w14:paraId="470BA5D0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COM-порт RS-232</w:t>
            </w:r>
          </w:p>
          <w:p w14:paraId="24E4FF2C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2 порта USB 3.0</w:t>
            </w:r>
          </w:p>
          <w:p w14:paraId="001DEFF7" w14:textId="77777777" w:rsidR="002D2072" w:rsidRPr="008859F2" w:rsidRDefault="00304424" w:rsidP="000E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Программное обеспечение, реализующее функции: </w:t>
            </w:r>
          </w:p>
          <w:p w14:paraId="178B73F5" w14:textId="77777777" w:rsidR="002D2072" w:rsidRPr="008859F2" w:rsidRDefault="00304424" w:rsidP="009269D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должно позволять организовывать защищенные соединения между узлами локальных сетей и между сегментами сетей с помощью защищенных каналов</w:t>
            </w:r>
          </w:p>
          <w:p w14:paraId="5BEC2B56" w14:textId="77777777" w:rsidR="002D2072" w:rsidRPr="008859F2" w:rsidRDefault="00304424" w:rsidP="009269D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должно позволять обеспечивать доставку на защищенные сетевые узлы управляющих сообщений из программного обеспечения, реализующего функции управления защищенной сетью</w:t>
            </w:r>
          </w:p>
          <w:p w14:paraId="0E476655" w14:textId="77777777" w:rsidR="002D2072" w:rsidRPr="008859F2" w:rsidRDefault="00304424" w:rsidP="009269D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должно позволять обеспечивать фильтрацию и NAT-трансляцию IP-трафика</w:t>
            </w:r>
          </w:p>
          <w:p w14:paraId="642D79A2" w14:textId="77777777" w:rsidR="002D2072" w:rsidRPr="008859F2" w:rsidRDefault="00304424" w:rsidP="009269D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должно позволять обеспечивать раздельный доступ защищенных узлов в Интернет и к ресурсам защищенной сети</w:t>
            </w:r>
          </w:p>
          <w:p w14:paraId="3FA022E1" w14:textId="77777777" w:rsidR="002D2072" w:rsidRPr="008859F2" w:rsidRDefault="00304424" w:rsidP="009269D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 должно позволять реализовать кластер горячего резервирования</w:t>
            </w:r>
          </w:p>
          <w:p w14:paraId="7D66E235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ПАК должен иметь:</w:t>
            </w:r>
          </w:p>
          <w:p w14:paraId="6F010E9A" w14:textId="77777777" w:rsidR="002D2072" w:rsidRPr="008859F2" w:rsidRDefault="00304424" w:rsidP="009269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сертификат ФСТЭК России на соответствие требованиям документов «Требования к межсетевым экранам» (ФСТЭК России, 2016) и «Профиль защиты межсетевого экрана типа А четвертого класса защиты. ИТ.МЭ.А4. ПЗ» (ФСТЭК России, 2016).</w:t>
            </w:r>
          </w:p>
          <w:p w14:paraId="169A13D2" w14:textId="77777777" w:rsidR="002D2072" w:rsidRPr="008859F2" w:rsidRDefault="00304424" w:rsidP="009269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сертификат ФСБ России на соответствие требованиям ФСБ России к средствам криптографической защиты информации, предназначенным для защиты информации, не содержащей сведений, составляющих государственную тайну, класса КС3</w:t>
            </w:r>
          </w:p>
          <w:p w14:paraId="332A5CC1" w14:textId="77777777" w:rsidR="002D2072" w:rsidRPr="008859F2" w:rsidRDefault="00304424" w:rsidP="009269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сертификат ФСБ России на соответствие требованиям ФСБ России к устройствам типа межсетевой экран 4 класса защищенности и возможности использования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</w:t>
            </w:r>
            <w:r w:rsidR="00647C8B" w:rsidRPr="008859F2">
              <w:rPr>
                <w:b w:val="0"/>
                <w:color w:val="000000"/>
                <w:sz w:val="24"/>
                <w:szCs w:val="24"/>
              </w:rPr>
              <w:t>.</w:t>
            </w:r>
          </w:p>
          <w:p w14:paraId="429391C5" w14:textId="77777777" w:rsidR="00647C8B" w:rsidRPr="008859F2" w:rsidRDefault="00647C8B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14:paraId="324C0D9B" w14:textId="1202B6FA" w:rsidR="00647C8B" w:rsidRPr="008859F2" w:rsidRDefault="00647C8B" w:rsidP="00647C8B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Техническая поддержка на срок 3 года, уровень - Расширенный, включающий в себя:</w:t>
            </w:r>
          </w:p>
          <w:p w14:paraId="2AB2C163" w14:textId="77777777" w:rsidR="00647C8B" w:rsidRPr="008859F2" w:rsidRDefault="00647C8B" w:rsidP="00647C8B">
            <w:pPr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электронной почте с 1:00 до 20:00 по московскому времени;</w:t>
            </w:r>
          </w:p>
          <w:p w14:paraId="26B1B0C8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телефону горячей линии с 1:00 до 20:00 по московскому времени;</w:t>
            </w:r>
          </w:p>
          <w:p w14:paraId="09D7BCE1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процессу установки продукта в объеме эксплуатационной документации;</w:t>
            </w:r>
          </w:p>
          <w:p w14:paraId="3475BD82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настройке продукта в объеме эксплуатационной документации;</w:t>
            </w:r>
          </w:p>
          <w:p w14:paraId="23F3FFCA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«тонкой» настройке продукта после знакомства с особенностями системы Заказчика;</w:t>
            </w:r>
          </w:p>
          <w:p w14:paraId="62A8C0DF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диагностика с целью установления факта ошибки в работе программного продукта. Выявленная ошибка, в зависимости от сложности, устраняется в процессе диагностики или в последующих обновлениях ПО;</w:t>
            </w:r>
          </w:p>
          <w:p w14:paraId="7EFC18B4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устраняющих дефекты, выявленные в продукте;</w:t>
            </w:r>
          </w:p>
          <w:p w14:paraId="284CAE99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а также все изменения, производимые в рамках минорной (MINOR) версии продукта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servicepack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);</w:t>
            </w:r>
          </w:p>
          <w:p w14:paraId="2FF72C18" w14:textId="20D2EB24" w:rsidR="00647C8B" w:rsidRPr="008859F2" w:rsidRDefault="00647C8B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новых версий программных компонентов (изменение мажорной (MAJOR) версии, поколения) продукта без взимания дополнительной платы.</w:t>
            </w:r>
          </w:p>
        </w:tc>
        <w:tc>
          <w:tcPr>
            <w:tcW w:w="2126" w:type="dxa"/>
          </w:tcPr>
          <w:p w14:paraId="38634F2A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 xml:space="preserve">Программно-аппаратный комплекс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ViPNet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Coordinator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HW2000 4.x</w:t>
            </w:r>
          </w:p>
          <w:p w14:paraId="54E0CBCF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 ОКПД2 26.20.40.140</w:t>
            </w:r>
          </w:p>
        </w:tc>
        <w:tc>
          <w:tcPr>
            <w:tcW w:w="1134" w:type="dxa"/>
          </w:tcPr>
          <w:p w14:paraId="4EF79DF6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2072" w:rsidRPr="008859F2" w14:paraId="3C408A92" w14:textId="77777777" w:rsidTr="00460CA1">
        <w:tc>
          <w:tcPr>
            <w:tcW w:w="988" w:type="dxa"/>
            <w:vAlign w:val="center"/>
          </w:tcPr>
          <w:p w14:paraId="531C9AD5" w14:textId="7B353086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0B6CD199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Процессор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 xml:space="preserve"> Intel Core i3-8100 (4 </w:t>
            </w:r>
            <w:r w:rsidRPr="008859F2">
              <w:rPr>
                <w:b w:val="0"/>
                <w:color w:val="000000"/>
                <w:sz w:val="24"/>
                <w:szCs w:val="24"/>
              </w:rPr>
              <w:t>ядра</w:t>
            </w:r>
            <w:r w:rsidRPr="008859F2">
              <w:rPr>
                <w:b w:val="0"/>
                <w:color w:val="000000"/>
                <w:sz w:val="24"/>
                <w:szCs w:val="24"/>
                <w:lang w:val="en-US"/>
              </w:rPr>
              <w:t>)</w:t>
            </w:r>
          </w:p>
          <w:p w14:paraId="68B1837E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Оперативная память 16 Гбайт</w:t>
            </w:r>
          </w:p>
          <w:p w14:paraId="7D0E595A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Накопители SSD 4 Гбайт</w:t>
            </w:r>
          </w:p>
          <w:p w14:paraId="2A86D712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HDD 1 Тбайт</w:t>
            </w:r>
          </w:p>
          <w:p w14:paraId="11F58D4E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lastRenderedPageBreak/>
              <w:t xml:space="preserve">Сетевые порты 8 портов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Ethernet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RJ45 10/100/1000 Мбит/с</w:t>
            </w:r>
          </w:p>
          <w:p w14:paraId="143AB2EB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Порты ввода-вывода порт VGA</w:t>
            </w:r>
          </w:p>
          <w:p w14:paraId="2AEEA316" w14:textId="77777777" w:rsidR="002D2072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COM-порт RS-232</w:t>
            </w:r>
          </w:p>
          <w:p w14:paraId="3F50B8D2" w14:textId="4A430E03" w:rsidR="00647C8B" w:rsidRPr="008859F2" w:rsidRDefault="00304424" w:rsidP="009269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6 портов USB 3.1</w:t>
            </w:r>
          </w:p>
          <w:p w14:paraId="5235377A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Программное обеспечение, позволяющее:</w:t>
            </w:r>
          </w:p>
          <w:p w14:paraId="5E9E325D" w14:textId="77777777" w:rsidR="002D2072" w:rsidRPr="008859F2" w:rsidRDefault="00304424" w:rsidP="009269D8">
            <w:pPr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организовывать защищенные соединения между узлами локальных сетей и между сегментами сетей с помощью защищенных каналов</w:t>
            </w:r>
          </w:p>
          <w:p w14:paraId="75FEFAF7" w14:textId="77777777" w:rsidR="002D2072" w:rsidRPr="008859F2" w:rsidRDefault="00304424" w:rsidP="009269D8">
            <w:pPr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обеспечивать доставку на защищенные сетевые узлы управляющих сообщений из программного обеспечения, реализующего функции управления защищенной сетью</w:t>
            </w:r>
          </w:p>
          <w:p w14:paraId="51EEC61F" w14:textId="77777777" w:rsidR="002D2072" w:rsidRPr="008859F2" w:rsidRDefault="00304424" w:rsidP="009269D8">
            <w:pPr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обеспечивать фильтрацию и NAT-трансляцию IP-трафика</w:t>
            </w:r>
          </w:p>
          <w:p w14:paraId="50337EC8" w14:textId="77777777" w:rsidR="002D2072" w:rsidRPr="008859F2" w:rsidRDefault="00304424" w:rsidP="009269D8">
            <w:pPr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обеспечивать раздельный доступ защищенных узлов в Интернет и к ресурсам защищенной сети, если этого требует политика безопасности организации</w:t>
            </w:r>
          </w:p>
          <w:p w14:paraId="6293B198" w14:textId="77777777" w:rsidR="002D2072" w:rsidRPr="008859F2" w:rsidRDefault="00304424" w:rsidP="009269D8">
            <w:pPr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реализовать кластер горячего резервирования</w:t>
            </w:r>
          </w:p>
          <w:p w14:paraId="5711067C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ПАК должен иметь:</w:t>
            </w:r>
          </w:p>
          <w:p w14:paraId="43329CF6" w14:textId="77777777" w:rsidR="002D2072" w:rsidRPr="008859F2" w:rsidRDefault="00304424" w:rsidP="009269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сертификат ФСТЭК России на соответствие требованиям документов «Требования к межсетевым экранам» (ФСТЭК России, 2016) и «Профиль защиты межсетевого экрана типа А четвертого класса защиты. ИТ.МЭ.А4. ПЗ» (ФСТЭК России, 2016).</w:t>
            </w:r>
          </w:p>
          <w:p w14:paraId="07BC6203" w14:textId="77777777" w:rsidR="002D2072" w:rsidRPr="008859F2" w:rsidRDefault="00304424" w:rsidP="009269D8">
            <w:pPr>
              <w:numPr>
                <w:ilvl w:val="0"/>
                <w:numId w:val="12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сертификат ФСБ России на соответствие требованиям ФСБ России к средствам криптографической защиты информации, предназначенным для защиты информации, не содержащей сведений, составляющих государственную тайну, класса КС3</w:t>
            </w:r>
          </w:p>
          <w:p w14:paraId="02B6E9D8" w14:textId="77777777" w:rsidR="00647C8B" w:rsidRPr="008859F2" w:rsidRDefault="00304424" w:rsidP="009269D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сертификат ФСБ России на соответствие требованиям ФСБ России к устройствам типа межсетевой экран 4 класса защищенности и возможности использоваться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</w:t>
            </w:r>
            <w:r w:rsidR="00647C8B" w:rsidRPr="008859F2">
              <w:rPr>
                <w:color w:val="000000"/>
                <w:sz w:val="24"/>
                <w:szCs w:val="24"/>
              </w:rPr>
              <w:t xml:space="preserve"> </w:t>
            </w:r>
          </w:p>
          <w:p w14:paraId="3E35B752" w14:textId="77777777" w:rsidR="00647C8B" w:rsidRPr="008859F2" w:rsidRDefault="00647C8B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  <w:p w14:paraId="2DC692F1" w14:textId="5B0FEAC5" w:rsidR="00647C8B" w:rsidRPr="008859F2" w:rsidRDefault="00647C8B" w:rsidP="00647C8B">
            <w:pPr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Техническая поддержка на срок 3 года, уровень - Расширенный, включающий в себя:</w:t>
            </w:r>
          </w:p>
          <w:p w14:paraId="36000357" w14:textId="77777777" w:rsidR="00647C8B" w:rsidRPr="008859F2" w:rsidRDefault="00647C8B" w:rsidP="00647C8B">
            <w:pPr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электронной почте с 1:00 до 20:00 по московскому времени;</w:t>
            </w:r>
          </w:p>
          <w:p w14:paraId="398CE7A3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телефону горячей линии с 1:00 до 20:00 по московскому времени;</w:t>
            </w:r>
          </w:p>
          <w:p w14:paraId="6D9F398B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процессу установки продукта в объеме эксплуатационной документации;</w:t>
            </w:r>
          </w:p>
          <w:p w14:paraId="106F87D4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настройке продукта в объеме эксплуатационной документации;</w:t>
            </w:r>
          </w:p>
          <w:p w14:paraId="21BA8D16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«тонкой» настройке продукта после знакомства с особенностями системы Заказчика;</w:t>
            </w:r>
          </w:p>
          <w:p w14:paraId="0CC339E5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lastRenderedPageBreak/>
              <w:t>диагностика с целью установления факта ошибки в работе программного продукта. Выявленная ошибка, в зависимости от сложности, устраняется в процессе диагностики или в последующих обновлениях ПО;</w:t>
            </w:r>
          </w:p>
          <w:p w14:paraId="3890C2CF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устраняющих дефекты, выявленные в продукте;</w:t>
            </w:r>
          </w:p>
          <w:p w14:paraId="248E5704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а также все изменения, производимые в рамках минорной (MINOR) версии продукта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servicepack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);</w:t>
            </w:r>
          </w:p>
          <w:p w14:paraId="6108BBFE" w14:textId="03AD09CD" w:rsidR="00647C8B" w:rsidRPr="008859F2" w:rsidRDefault="00647C8B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новых версий программных компонентов (изменение мажорной (MAJOR) версии, поколения) продукта без взимания дополнительной платы.</w:t>
            </w:r>
          </w:p>
        </w:tc>
        <w:tc>
          <w:tcPr>
            <w:tcW w:w="2126" w:type="dxa"/>
          </w:tcPr>
          <w:p w14:paraId="2720F43D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 xml:space="preserve">Программно-аппаратный комплекс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ViPNet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lastRenderedPageBreak/>
              <w:t>Coordinator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HW1000 C 4.x</w:t>
            </w:r>
          </w:p>
          <w:p w14:paraId="36469064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ОКПД2 26.20.40.140</w:t>
            </w:r>
          </w:p>
        </w:tc>
        <w:tc>
          <w:tcPr>
            <w:tcW w:w="1134" w:type="dxa"/>
          </w:tcPr>
          <w:p w14:paraId="4C1E2A10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</w:tr>
      <w:tr w:rsidR="002D2072" w:rsidRPr="008859F2" w14:paraId="3255BA7A" w14:textId="77777777" w:rsidTr="00460CA1">
        <w:trPr>
          <w:trHeight w:val="922"/>
        </w:trPr>
        <w:tc>
          <w:tcPr>
            <w:tcW w:w="988" w:type="dxa"/>
            <w:vAlign w:val="center"/>
          </w:tcPr>
          <w:p w14:paraId="1310C5F4" w14:textId="77777777" w:rsidR="002D2072" w:rsidRPr="008859F2" w:rsidRDefault="00304424" w:rsidP="009269D8">
            <w:pPr>
              <w:ind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73" w:type="dxa"/>
          </w:tcPr>
          <w:p w14:paraId="5157EBBF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Право на использование ПО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ViPNet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Administrator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4.х (КС3)</w:t>
            </w:r>
          </w:p>
          <w:p w14:paraId="34FBEB42" w14:textId="0A988D25" w:rsidR="00647C8B" w:rsidRPr="008859F2" w:rsidRDefault="00647C8B" w:rsidP="00647C8B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Техническая поддержка на срок 3 года, уровень – Расширенный, включающий в себя:</w:t>
            </w:r>
          </w:p>
          <w:p w14:paraId="3F7D19E5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электронной почте с 1:00 до 20:00 по московскому времени;</w:t>
            </w:r>
          </w:p>
          <w:p w14:paraId="3D5734A4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приём обращений и консультирование по телефону горячей линии с 1:00 до 20:00 по московскому времени;</w:t>
            </w:r>
          </w:p>
          <w:p w14:paraId="558B583C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процессу установки продукта в объеме эксплуатационной документации;</w:t>
            </w:r>
          </w:p>
          <w:p w14:paraId="5DC4DBC6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настройке продукта в объеме эксплуатационной документации;</w:t>
            </w:r>
          </w:p>
          <w:p w14:paraId="64301CEF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рекомендации по «тонкой» настройке продукта после знакомства с особенностями системы Заказчика;</w:t>
            </w:r>
          </w:p>
          <w:p w14:paraId="24D2ED25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диагностика с целью установления факта ошибки в работе программного продукта. Выявленная ошибка, в зависимости от сложности, устраняется в процессе диагностики или в последующих обновлениях ПО;</w:t>
            </w:r>
          </w:p>
          <w:p w14:paraId="4AE062A2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устраняющих дефекты, выявленные в продукте;</w:t>
            </w:r>
          </w:p>
          <w:p w14:paraId="1D34B18D" w14:textId="77777777" w:rsidR="00647C8B" w:rsidRPr="008859F2" w:rsidRDefault="00647C8B" w:rsidP="00647C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обновлений(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hotfix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), а также все изменения, производимые в рамках минорной (MINOR) версии продукта (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servicepack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>);</w:t>
            </w:r>
          </w:p>
          <w:p w14:paraId="0586DCFD" w14:textId="098C39C1" w:rsidR="00647C8B" w:rsidRPr="008859F2" w:rsidRDefault="00647C8B" w:rsidP="009269D8">
            <w:pPr>
              <w:ind w:firstLine="0"/>
              <w:rPr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предоставление новых версий программных компонентов (изменение мажорной (MAJOR) версии, поколения) продукта без взимания дополнительной платы.</w:t>
            </w:r>
          </w:p>
        </w:tc>
        <w:tc>
          <w:tcPr>
            <w:tcW w:w="2126" w:type="dxa"/>
          </w:tcPr>
          <w:p w14:paraId="21D883FE" w14:textId="77777777" w:rsidR="002D2072" w:rsidRPr="008859F2" w:rsidRDefault="00304424" w:rsidP="009269D8">
            <w:pPr>
              <w:ind w:right="5"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ОКПД2 58.29.50.000 </w:t>
            </w:r>
          </w:p>
        </w:tc>
        <w:tc>
          <w:tcPr>
            <w:tcW w:w="1134" w:type="dxa"/>
          </w:tcPr>
          <w:p w14:paraId="0A4C75F4" w14:textId="77777777" w:rsidR="002D2072" w:rsidRPr="008859F2" w:rsidRDefault="00304424" w:rsidP="009269D8">
            <w:pPr>
              <w:ind w:right="5"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2072" w:rsidRPr="008859F2" w14:paraId="63305D10" w14:textId="77777777" w:rsidTr="00460CA1">
        <w:tc>
          <w:tcPr>
            <w:tcW w:w="988" w:type="dxa"/>
            <w:vAlign w:val="center"/>
          </w:tcPr>
          <w:p w14:paraId="1DDFB3F0" w14:textId="77777777" w:rsidR="002D2072" w:rsidRPr="008859F2" w:rsidRDefault="00304424" w:rsidP="009269D8">
            <w:pPr>
              <w:ind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2A06BAF5" w14:textId="77777777" w:rsidR="002D2072" w:rsidRPr="008859F2" w:rsidRDefault="00304424" w:rsidP="009269D8">
            <w:pPr>
              <w:ind w:firstLine="0"/>
              <w:rPr>
                <w:color w:val="000000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Установочный комплект сертифицированного ПО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ViPNet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color w:val="000000"/>
                <w:sz w:val="24"/>
                <w:szCs w:val="24"/>
              </w:rPr>
              <w:t>Administrator</w:t>
            </w:r>
            <w:proofErr w:type="spellEnd"/>
            <w:r w:rsidRPr="008859F2">
              <w:rPr>
                <w:color w:val="000000"/>
                <w:sz w:val="24"/>
                <w:szCs w:val="24"/>
              </w:rPr>
              <w:t xml:space="preserve"> 4.x (КС3)</w:t>
            </w:r>
          </w:p>
        </w:tc>
        <w:tc>
          <w:tcPr>
            <w:tcW w:w="2126" w:type="dxa"/>
          </w:tcPr>
          <w:p w14:paraId="5F3F0864" w14:textId="77777777" w:rsidR="002D2072" w:rsidRPr="008859F2" w:rsidRDefault="00304424" w:rsidP="009269D8">
            <w:pPr>
              <w:ind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ОКПД2 58.29.50.000</w:t>
            </w:r>
          </w:p>
        </w:tc>
        <w:tc>
          <w:tcPr>
            <w:tcW w:w="1134" w:type="dxa"/>
          </w:tcPr>
          <w:p w14:paraId="1031D7CC" w14:textId="77777777" w:rsidR="002D2072" w:rsidRPr="008859F2" w:rsidRDefault="00304424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 w:firstLine="0"/>
              <w:rPr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1490B1B8" w14:textId="77777777" w:rsidR="00460CA1" w:rsidRPr="008859F2" w:rsidRDefault="00460CA1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ABF9" w14:textId="77777777" w:rsidR="000E62EE" w:rsidRPr="008859F2" w:rsidRDefault="000E62EE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837E9" w14:textId="77777777" w:rsidR="000E62EE" w:rsidRPr="008859F2" w:rsidRDefault="000E62EE" w:rsidP="009269D8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5D84A" w14:textId="77777777" w:rsidR="002D2072" w:rsidRPr="008859F2" w:rsidRDefault="00304424" w:rsidP="000E62EE">
      <w:pPr>
        <w:pStyle w:val="2"/>
        <w:rPr>
          <w:rFonts w:ascii="Times New Roman" w:eastAsia="Times New Roman" w:hAnsi="Times New Roman" w:cs="Times New Roman"/>
          <w:color w:val="000000"/>
        </w:rPr>
      </w:pPr>
      <w:r w:rsidRPr="008859F2">
        <w:rPr>
          <w:rFonts w:ascii="Times New Roman" w:eastAsia="Times New Roman" w:hAnsi="Times New Roman" w:cs="Times New Roman"/>
          <w:color w:val="000000"/>
        </w:rPr>
        <w:t>Оборудование ВКС</w:t>
      </w:r>
    </w:p>
    <w:tbl>
      <w:tblPr>
        <w:tblStyle w:val="a6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9383"/>
        <w:gridCol w:w="3686"/>
        <w:gridCol w:w="1134"/>
      </w:tblGrid>
      <w:tr w:rsidR="002D2072" w:rsidRPr="008859F2" w14:paraId="1483BB33" w14:textId="77777777" w:rsidTr="00594732">
        <w:tc>
          <w:tcPr>
            <w:tcW w:w="818" w:type="dxa"/>
            <w:vAlign w:val="center"/>
          </w:tcPr>
          <w:p w14:paraId="00E73F11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83" w:type="dxa"/>
          </w:tcPr>
          <w:p w14:paraId="426B1AC9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3686" w:type="dxa"/>
          </w:tcPr>
          <w:p w14:paraId="21EF76EB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 xml:space="preserve">Модель </w:t>
            </w:r>
          </w:p>
        </w:tc>
        <w:tc>
          <w:tcPr>
            <w:tcW w:w="1134" w:type="dxa"/>
          </w:tcPr>
          <w:p w14:paraId="7AB1DD4D" w14:textId="77777777" w:rsidR="002D2072" w:rsidRPr="008859F2" w:rsidRDefault="00304424" w:rsidP="000E62EE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2D2072" w:rsidRPr="008859F2" w14:paraId="7DCB213E" w14:textId="77777777" w:rsidTr="00594732">
        <w:trPr>
          <w:trHeight w:val="603"/>
        </w:trPr>
        <w:tc>
          <w:tcPr>
            <w:tcW w:w="818" w:type="dxa"/>
            <w:vAlign w:val="center"/>
          </w:tcPr>
          <w:p w14:paraId="1CB1607B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3" w:type="dxa"/>
          </w:tcPr>
          <w:p w14:paraId="5BCF1710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Программно-аппаратный комплекс (терминал) ВКС:</w:t>
            </w:r>
          </w:p>
          <w:p w14:paraId="32B4AC7C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иметь возможность крепления на ЖК-панель (монитор ВСК). В комплекте поставки должны быть крепления стандарта VESA;</w:t>
            </w:r>
          </w:p>
          <w:p w14:paraId="5849EB8F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иметь возможность крепления на стену. В комплекте поставки должны быть необходимые комплектующие;</w:t>
            </w:r>
          </w:p>
          <w:p w14:paraId="26DEB6FA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В комплекте поставки должно быть не менее двух выносных настольных микрофонов. Как минимум один из микрофонов должен представлять из себя массив из не менее чем шести микрофонов;</w:t>
            </w:r>
          </w:p>
          <w:p w14:paraId="491E491F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иметь встроенные динамики для воспроизведения аудио мощностью не менее 20 Вт;</w:t>
            </w:r>
          </w:p>
          <w:p w14:paraId="29E7FBDC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как минимум следующие стандарты, обеспечивающие установку IP-соединений между системами, защищенными брандмауэрами: H.460.18, H.460.19;</w:t>
            </w:r>
          </w:p>
          <w:p w14:paraId="43B5F958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как минимум следующие стандарты передачи мультимедиа-данных по сетям с пакетной передачей данных: SIP, H.323;</w:t>
            </w:r>
          </w:p>
          <w:p w14:paraId="372B7751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как минимум следующие стандарты сжатия видео: H.264, H.265;</w:t>
            </w:r>
          </w:p>
          <w:p w14:paraId="198D29CE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как минимум следующие стандарты сжатия аудио: BFCP, Н.323, H.239;</w:t>
            </w:r>
          </w:p>
          <w:p w14:paraId="57899355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как минимум следующие аудио-</w:t>
            </w:r>
            <w:proofErr w:type="gramStart"/>
            <w:r w:rsidRPr="008859F2">
              <w:rPr>
                <w:b w:val="0"/>
                <w:color w:val="000000"/>
                <w:sz w:val="24"/>
                <w:szCs w:val="24"/>
              </w:rPr>
              <w:t>кодеки:  G.</w:t>
            </w:r>
            <w:proofErr w:type="gramEnd"/>
            <w:r w:rsidRPr="008859F2">
              <w:rPr>
                <w:b w:val="0"/>
                <w:color w:val="000000"/>
                <w:sz w:val="24"/>
                <w:szCs w:val="24"/>
              </w:rPr>
              <w:t>711, G.722, G.722.1, G.729, AAC-LD;</w:t>
            </w:r>
          </w:p>
          <w:p w14:paraId="53E6195E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поддерживать воспроизведение видео с разрешением не менее 3840 x 2160 пикселей;</w:t>
            </w:r>
          </w:p>
          <w:p w14:paraId="3D67FDCB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иметь оптический зум с кратностью не менее трех;</w:t>
            </w:r>
          </w:p>
          <w:p w14:paraId="59803BFF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Должен иметь возможность подключения к ЖК-панели (монитору) с использованием стандарта HDMI. Количество HDMI-выходов не менее двух;</w:t>
            </w:r>
          </w:p>
          <w:p w14:paraId="278A8B04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Должен иметь возможность подключения к локальной сети с использованием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Ethernet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Wi-Fi</w:t>
            </w:r>
            <w:proofErr w:type="spellEnd"/>
          </w:p>
          <w:p w14:paraId="0903E914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Должен иметь встроенный </w:t>
            </w:r>
            <w:proofErr w:type="spellStart"/>
            <w:r w:rsidRPr="008859F2">
              <w:rPr>
                <w:b w:val="0"/>
                <w:color w:val="000000"/>
                <w:sz w:val="24"/>
                <w:szCs w:val="24"/>
              </w:rPr>
              <w:t>Bluetooth</w:t>
            </w:r>
            <w:proofErr w:type="spellEnd"/>
            <w:r w:rsidRPr="008859F2">
              <w:rPr>
                <w:b w:val="0"/>
                <w:color w:val="000000"/>
                <w:sz w:val="24"/>
                <w:szCs w:val="24"/>
              </w:rPr>
              <w:t xml:space="preserve"> адаптер;</w:t>
            </w:r>
          </w:p>
          <w:p w14:paraId="761168D2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В комплекте поставки должны быть как минимум следующие кабели подключения:</w:t>
            </w:r>
          </w:p>
          <w:p w14:paraId="14EF4836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Кабель электропитания;</w:t>
            </w:r>
          </w:p>
          <w:p w14:paraId="3AB20646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Кабель HDMI 2.0 длиной не менее 1,5 м.;</w:t>
            </w:r>
          </w:p>
          <w:p w14:paraId="5AA79048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Кабель HDMI 1.4 длиной не менее 8 м.;</w:t>
            </w:r>
          </w:p>
          <w:p w14:paraId="695706BA" w14:textId="77777777" w:rsidR="002D2072" w:rsidRPr="008859F2" w:rsidRDefault="00304424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Сетевой кабель RJ45 длиной не менее 5 м.;</w:t>
            </w:r>
          </w:p>
          <w:p w14:paraId="51D2B53B" w14:textId="4BC6F66E" w:rsidR="00647C8B" w:rsidRPr="008859F2" w:rsidRDefault="00304424" w:rsidP="00647C8B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 xml:space="preserve">Кабели для подключения выносных </w:t>
            </w:r>
            <w:r w:rsidR="00647C8B" w:rsidRPr="008859F2">
              <w:rPr>
                <w:b w:val="0"/>
                <w:color w:val="000000"/>
                <w:sz w:val="24"/>
                <w:szCs w:val="24"/>
              </w:rPr>
              <w:t>микрофонов.</w:t>
            </w:r>
            <w:r w:rsidR="00647C8B" w:rsidRPr="008859F2">
              <w:rPr>
                <w:color w:val="000000"/>
                <w:sz w:val="24"/>
                <w:szCs w:val="24"/>
              </w:rPr>
              <w:t xml:space="preserve"> </w:t>
            </w:r>
          </w:p>
          <w:p w14:paraId="0435AEC2" w14:textId="77777777" w:rsidR="00647C8B" w:rsidRPr="008859F2" w:rsidRDefault="00647C8B" w:rsidP="00647C8B">
            <w:pPr>
              <w:ind w:firstLine="0"/>
              <w:rPr>
                <w:color w:val="000000"/>
                <w:sz w:val="24"/>
                <w:szCs w:val="24"/>
              </w:rPr>
            </w:pPr>
          </w:p>
          <w:p w14:paraId="3378D88B" w14:textId="1B7F7845" w:rsidR="00647C8B" w:rsidRPr="008859F2" w:rsidRDefault="00647C8B" w:rsidP="00647C8B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Техническая поддержка производителя на три года для оборудования п.1 настоящей таблицы, включающий в себя:</w:t>
            </w:r>
          </w:p>
          <w:p w14:paraId="3E180D4F" w14:textId="77777777" w:rsidR="00647C8B" w:rsidRPr="008859F2" w:rsidRDefault="00647C8B" w:rsidP="00647C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Возможность круглосуточного обращения в службу технической поддержки производителя с гарантированным временем ответа:</w:t>
            </w:r>
          </w:p>
          <w:p w14:paraId="3BC36E1C" w14:textId="77777777" w:rsidR="00647C8B" w:rsidRPr="008859F2" w:rsidRDefault="00647C8B" w:rsidP="00647C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ответ на запрос, поступивший в течение рабочего дня – не более 1 часа;</w:t>
            </w:r>
          </w:p>
          <w:p w14:paraId="5363FCEA" w14:textId="77777777" w:rsidR="00647C8B" w:rsidRPr="008859F2" w:rsidRDefault="00647C8B" w:rsidP="00647C8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ответ на запрос по критической проблеме вне зависимости от времени его поступления в течение суток – не более 1 часа</w:t>
            </w:r>
          </w:p>
          <w:p w14:paraId="3DEA878E" w14:textId="77777777" w:rsidR="00647C8B" w:rsidRPr="008859F2" w:rsidRDefault="00647C8B" w:rsidP="00647C8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Замена неисправного оборудования:</w:t>
            </w:r>
          </w:p>
          <w:p w14:paraId="695F37A9" w14:textId="77777777" w:rsidR="00647C8B" w:rsidRPr="008859F2" w:rsidRDefault="00647C8B" w:rsidP="00647C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новое оборудование взамен вышедшего из строя поставляется на следующий рабочий день;</w:t>
            </w:r>
          </w:p>
          <w:p w14:paraId="04E74FE0" w14:textId="77777777" w:rsidR="00647C8B" w:rsidRPr="008859F2" w:rsidRDefault="00647C8B" w:rsidP="00647C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неисправное оборудование возвращается производителю после поставки нового</w:t>
            </w:r>
          </w:p>
          <w:p w14:paraId="38EFF30E" w14:textId="77777777" w:rsidR="00647C8B" w:rsidRPr="008859F2" w:rsidRDefault="00647C8B" w:rsidP="00647C8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Обновление программного обеспечения:</w:t>
            </w:r>
          </w:p>
          <w:p w14:paraId="684C4024" w14:textId="77777777" w:rsidR="00647C8B" w:rsidRPr="008859F2" w:rsidRDefault="00647C8B" w:rsidP="00647C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круглосуточный доступ к сайту производителя с целью получения новых версий программного обеспечения;</w:t>
            </w:r>
          </w:p>
          <w:p w14:paraId="6A936439" w14:textId="5045A009" w:rsidR="00647C8B" w:rsidRPr="008859F2" w:rsidRDefault="00647C8B" w:rsidP="0092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59F2">
              <w:rPr>
                <w:b w:val="0"/>
                <w:color w:val="000000"/>
                <w:sz w:val="24"/>
                <w:szCs w:val="24"/>
              </w:rPr>
              <w:t>круглосуточный доступ к сайту производителя с целью получения обновлений к существующим версиям программного обеспечения;</w:t>
            </w:r>
          </w:p>
          <w:p w14:paraId="7441CBC0" w14:textId="77777777" w:rsidR="002D2072" w:rsidRPr="008859F2" w:rsidRDefault="002D2072" w:rsidP="009269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328A46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lastRenderedPageBreak/>
              <w:t>CS-KIT-K7</w:t>
            </w:r>
          </w:p>
          <w:p w14:paraId="7CEF6D47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ОКПД2 26.30.23.000</w:t>
            </w:r>
          </w:p>
          <w:p w14:paraId="0840326F" w14:textId="77777777" w:rsidR="002D2072" w:rsidRPr="008859F2" w:rsidRDefault="002D2072" w:rsidP="009269D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B86B2" w14:textId="77777777" w:rsidR="002D2072" w:rsidRPr="008859F2" w:rsidRDefault="00304424" w:rsidP="009269D8">
            <w:pPr>
              <w:ind w:firstLine="0"/>
              <w:rPr>
                <w:color w:val="000000"/>
                <w:sz w:val="24"/>
                <w:szCs w:val="24"/>
              </w:rPr>
            </w:pPr>
            <w:r w:rsidRPr="008859F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14:paraId="33EA4C75" w14:textId="77777777" w:rsidR="002D2072" w:rsidRPr="008859F2" w:rsidRDefault="002D2072" w:rsidP="000E62EE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04EE1" w14:textId="77777777" w:rsidR="002D2072" w:rsidRPr="008859F2" w:rsidRDefault="002D207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D2072" w:rsidRPr="008859F2" w:rsidSect="00594732">
          <w:pgSz w:w="16838" w:h="11906" w:orient="landscape"/>
          <w:pgMar w:top="1134" w:right="238" w:bottom="567" w:left="1418" w:header="709" w:footer="709" w:gutter="0"/>
          <w:pgNumType w:start="1"/>
          <w:cols w:space="720"/>
          <w:titlePg/>
          <w:docGrid w:linePitch="299"/>
        </w:sectPr>
      </w:pPr>
    </w:p>
    <w:p w14:paraId="3A7F0E17" w14:textId="77777777" w:rsidR="002D2072" w:rsidRPr="008859F2" w:rsidRDefault="00304424" w:rsidP="0059473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F2">
        <w:rPr>
          <w:rFonts w:ascii="Times New Roman" w:eastAsia="Times New Roman" w:hAnsi="Times New Roman" w:cs="Times New Roman"/>
          <w:sz w:val="24"/>
          <w:szCs w:val="24"/>
        </w:rPr>
        <w:lastRenderedPageBreak/>
        <w:t>Разнарядка.</w:t>
      </w:r>
    </w:p>
    <w:p w14:paraId="374C67F7" w14:textId="77777777" w:rsidR="002D2072" w:rsidRPr="008859F2" w:rsidRDefault="002D2072" w:rsidP="00594732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8468"/>
        <w:gridCol w:w="851"/>
        <w:gridCol w:w="850"/>
        <w:gridCol w:w="992"/>
        <w:gridCol w:w="1134"/>
        <w:gridCol w:w="1134"/>
      </w:tblGrid>
      <w:tr w:rsidR="002C623B" w:rsidRPr="008859F2" w14:paraId="44FBC156" w14:textId="77777777" w:rsidTr="009269D8">
        <w:trPr>
          <w:cantSplit/>
          <w:trHeight w:val="3529"/>
        </w:trPr>
        <w:tc>
          <w:tcPr>
            <w:tcW w:w="741" w:type="dxa"/>
            <w:textDirection w:val="btLr"/>
            <w:vAlign w:val="center"/>
          </w:tcPr>
          <w:p w14:paraId="093D3FE2" w14:textId="77777777" w:rsidR="002C623B" w:rsidRPr="008859F2" w:rsidRDefault="002C623B" w:rsidP="009269D8">
            <w:pPr>
              <w:spacing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8468" w:type="dxa"/>
            <w:textDirection w:val="btLr"/>
            <w:vAlign w:val="center"/>
          </w:tcPr>
          <w:p w14:paraId="0DC869B7" w14:textId="77777777" w:rsidR="002C623B" w:rsidRPr="008859F2" w:rsidRDefault="002C623B" w:rsidP="009269D8">
            <w:pPr>
              <w:spacing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1" w:type="dxa"/>
            <w:textDirection w:val="btLr"/>
          </w:tcPr>
          <w:p w14:paraId="5C8C5630" w14:textId="77777777" w:rsidR="002C623B" w:rsidRPr="008859F2" w:rsidRDefault="002C623B" w:rsidP="00460CA1">
            <w:pPr>
              <w:spacing w:after="60"/>
              <w:ind w:left="113" w:right="-7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HW2000 4.x</w:t>
            </w:r>
          </w:p>
        </w:tc>
        <w:tc>
          <w:tcPr>
            <w:tcW w:w="850" w:type="dxa"/>
            <w:textDirection w:val="btLr"/>
          </w:tcPr>
          <w:p w14:paraId="5DEDB517" w14:textId="4724CD63" w:rsidR="002C623B" w:rsidRPr="008859F2" w:rsidRDefault="002C623B" w:rsidP="009269D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Coordinator HW1000 C 4.x</w:t>
            </w:r>
          </w:p>
        </w:tc>
        <w:tc>
          <w:tcPr>
            <w:tcW w:w="992" w:type="dxa"/>
            <w:textDirection w:val="btLr"/>
          </w:tcPr>
          <w:p w14:paraId="03490B07" w14:textId="77777777" w:rsidR="002C623B" w:rsidRPr="008859F2" w:rsidRDefault="002C623B" w:rsidP="00460CA1">
            <w:pPr>
              <w:spacing w:after="6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4.х (КС3)</w:t>
            </w:r>
          </w:p>
        </w:tc>
        <w:tc>
          <w:tcPr>
            <w:tcW w:w="1134" w:type="dxa"/>
            <w:textDirection w:val="btLr"/>
          </w:tcPr>
          <w:p w14:paraId="2D41D44E" w14:textId="69E83B4F" w:rsidR="002C623B" w:rsidRPr="008859F2" w:rsidRDefault="002C623B" w:rsidP="000E62EE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hAnsi="Times New Roman" w:cs="Times New Roman"/>
                <w:color w:val="000000"/>
              </w:rPr>
              <w:t xml:space="preserve">Установочный комплект сертифицированного ПО </w:t>
            </w:r>
            <w:proofErr w:type="spellStart"/>
            <w:r w:rsidRPr="008859F2">
              <w:rPr>
                <w:rFonts w:ascii="Times New Roman" w:hAnsi="Times New Roman" w:cs="Times New Roman"/>
                <w:color w:val="000000"/>
              </w:rPr>
              <w:t>ViPNet</w:t>
            </w:r>
            <w:proofErr w:type="spellEnd"/>
            <w:r w:rsidRPr="008859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59F2">
              <w:rPr>
                <w:rFonts w:ascii="Times New Roman" w:hAnsi="Times New Roman" w:cs="Times New Roman"/>
                <w:color w:val="000000"/>
              </w:rPr>
              <w:t>Administrator</w:t>
            </w:r>
            <w:proofErr w:type="spellEnd"/>
            <w:r w:rsidRPr="008859F2">
              <w:rPr>
                <w:rFonts w:ascii="Times New Roman" w:hAnsi="Times New Roman" w:cs="Times New Roman"/>
                <w:color w:val="000000"/>
              </w:rPr>
              <w:t xml:space="preserve"> 4.x (КС3)</w:t>
            </w:r>
          </w:p>
        </w:tc>
        <w:tc>
          <w:tcPr>
            <w:tcW w:w="1134" w:type="dxa"/>
            <w:textDirection w:val="btLr"/>
          </w:tcPr>
          <w:p w14:paraId="4B41BBB9" w14:textId="77777777" w:rsidR="002C623B" w:rsidRPr="008859F2" w:rsidRDefault="002C623B" w:rsidP="00460CA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(терминал) ВКС</w:t>
            </w:r>
          </w:p>
          <w:p w14:paraId="1F436F50" w14:textId="0D383891" w:rsidR="002C623B" w:rsidRPr="008859F2" w:rsidRDefault="002C623B" w:rsidP="009269D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CS-KIT-K7</w:t>
            </w:r>
          </w:p>
        </w:tc>
      </w:tr>
      <w:tr w:rsidR="002C623B" w:rsidRPr="008859F2" w14:paraId="36F4FD34" w14:textId="77777777" w:rsidTr="009269D8">
        <w:tc>
          <w:tcPr>
            <w:tcW w:w="741" w:type="dxa"/>
          </w:tcPr>
          <w:p w14:paraId="0934E014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</w:tcPr>
          <w:p w14:paraId="4C851EF4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655111, Республика Хакасия, г. Сорск, Центр реабилитации "Туманный";</w:t>
            </w:r>
          </w:p>
        </w:tc>
        <w:tc>
          <w:tcPr>
            <w:tcW w:w="851" w:type="dxa"/>
          </w:tcPr>
          <w:p w14:paraId="2A015F9E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BDF63C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9C1A5D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C2EF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045F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71ECFAF7" w14:textId="77777777" w:rsidTr="009269D8">
        <w:tc>
          <w:tcPr>
            <w:tcW w:w="741" w:type="dxa"/>
          </w:tcPr>
          <w:p w14:paraId="6FA277C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</w:tcPr>
          <w:p w14:paraId="46D9D67F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652860 Кемеровская область, г. Мыски, ул. Лесхозная, ФГУ Центр реабилитации Фонда социального страхования Российской Федерации "Топаз";</w:t>
            </w:r>
          </w:p>
        </w:tc>
        <w:tc>
          <w:tcPr>
            <w:tcW w:w="851" w:type="dxa"/>
          </w:tcPr>
          <w:p w14:paraId="2E06B1CF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E02CB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202C2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A3BBF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C369C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4898168A" w14:textId="77777777" w:rsidTr="009269D8">
        <w:tc>
          <w:tcPr>
            <w:tcW w:w="741" w:type="dxa"/>
          </w:tcPr>
          <w:p w14:paraId="2B64D5B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</w:tcPr>
          <w:p w14:paraId="56676F6C" w14:textId="77777777" w:rsidR="002C623B" w:rsidRPr="008859F2" w:rsidRDefault="002C623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416132, Астраханская область,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Рассвет, ФБУ Центр реабилитации Фонда социального страхования Российской Федерации "Тинаки";</w:t>
            </w:r>
          </w:p>
        </w:tc>
        <w:tc>
          <w:tcPr>
            <w:tcW w:w="851" w:type="dxa"/>
          </w:tcPr>
          <w:p w14:paraId="592A66F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BE3D2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51FD8F1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24D5F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489F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5DC8BF61" w14:textId="77777777" w:rsidTr="009269D8">
        <w:tc>
          <w:tcPr>
            <w:tcW w:w="741" w:type="dxa"/>
          </w:tcPr>
          <w:p w14:paraId="0DA58BD2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8" w:type="dxa"/>
          </w:tcPr>
          <w:p w14:paraId="2BEED5DA" w14:textId="40DED79C" w:rsidR="002C623B" w:rsidRPr="008859F2" w:rsidRDefault="002C623B" w:rsidP="009269D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625058, г. Тюмень ул. Санаторная, 10, ФБУ Центр реабилитации "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Тараскуль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</w:tc>
        <w:tc>
          <w:tcPr>
            <w:tcW w:w="851" w:type="dxa"/>
          </w:tcPr>
          <w:p w14:paraId="048ED148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FF7CC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623B3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6F99D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FB77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6D00CE21" w14:textId="77777777" w:rsidTr="009269D8">
        <w:tc>
          <w:tcPr>
            <w:tcW w:w="741" w:type="dxa"/>
          </w:tcPr>
          <w:p w14:paraId="7962E0D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8" w:type="dxa"/>
          </w:tcPr>
          <w:p w14:paraId="6157F0C4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644012, г. Омск, ул. Березовая, 1, ФБУ Центр реабилитации Фонда социального страхования Российской Федерации "Омский";</w:t>
            </w:r>
          </w:p>
        </w:tc>
        <w:tc>
          <w:tcPr>
            <w:tcW w:w="851" w:type="dxa"/>
          </w:tcPr>
          <w:p w14:paraId="05BC819F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5724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BCD1A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3A352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B292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28CD5A04" w14:textId="77777777" w:rsidTr="009269D8">
        <w:tc>
          <w:tcPr>
            <w:tcW w:w="741" w:type="dxa"/>
          </w:tcPr>
          <w:p w14:paraId="52F0BEAD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8" w:type="dxa"/>
          </w:tcPr>
          <w:p w14:paraId="78CFC1E5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343410, Краснодарский край, г. Анапа, Пионерский проспект, д. 23-А, ФГУ Центр реабилитации Фонда социального страхования Российской Федерации "Кристалл";</w:t>
            </w:r>
          </w:p>
        </w:tc>
        <w:tc>
          <w:tcPr>
            <w:tcW w:w="851" w:type="dxa"/>
          </w:tcPr>
          <w:p w14:paraId="554E603B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CEA2F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4E5D9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8E90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A1C6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5DDFC8FC" w14:textId="77777777" w:rsidTr="009269D8">
        <w:tc>
          <w:tcPr>
            <w:tcW w:w="741" w:type="dxa"/>
          </w:tcPr>
          <w:p w14:paraId="69030B4A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8" w:type="dxa"/>
          </w:tcPr>
          <w:p w14:paraId="6C58ABB3" w14:textId="400259B5" w:rsidR="002C623B" w:rsidRPr="008859F2" w:rsidRDefault="002C623B" w:rsidP="009269D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634526 Томская область, Томский район, пос. Ключи, ФБУ Центр реабилитации Фонда социального страхования Российской Федерации «Ключи»;</w:t>
            </w:r>
          </w:p>
        </w:tc>
        <w:tc>
          <w:tcPr>
            <w:tcW w:w="851" w:type="dxa"/>
          </w:tcPr>
          <w:p w14:paraId="20BFD7B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300F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08BEC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B90DD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6E2A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327D3C09" w14:textId="77777777" w:rsidTr="009269D8">
        <w:tc>
          <w:tcPr>
            <w:tcW w:w="741" w:type="dxa"/>
          </w:tcPr>
          <w:p w14:paraId="6D2E5E6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8" w:type="dxa"/>
          </w:tcPr>
          <w:p w14:paraId="26E8CD72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613002, Кировская обл., Кирово-Чепецкий р-он, с. Бурмакино, ФБУ Центр реабилитации Фонда социального страхования Российской Федерации "Вятские Увалы";</w:t>
            </w:r>
          </w:p>
        </w:tc>
        <w:tc>
          <w:tcPr>
            <w:tcW w:w="851" w:type="dxa"/>
          </w:tcPr>
          <w:p w14:paraId="4C1E461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39242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BEC6C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C306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4848B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21BAF187" w14:textId="77777777" w:rsidTr="009269D8">
        <w:tc>
          <w:tcPr>
            <w:tcW w:w="741" w:type="dxa"/>
          </w:tcPr>
          <w:p w14:paraId="0974E47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8" w:type="dxa"/>
          </w:tcPr>
          <w:p w14:paraId="646C54E2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601125, Владимирская область,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 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, ФБУ Центр реабилитации Фонда социального страхования Российской Федерации "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</w:tc>
        <w:tc>
          <w:tcPr>
            <w:tcW w:w="851" w:type="dxa"/>
          </w:tcPr>
          <w:p w14:paraId="2B0144C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B88EF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515932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7A73B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32C1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157052FC" w14:textId="77777777" w:rsidTr="009269D8">
        <w:tc>
          <w:tcPr>
            <w:tcW w:w="741" w:type="dxa"/>
          </w:tcPr>
          <w:p w14:paraId="1BD08A48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8" w:type="dxa"/>
          </w:tcPr>
          <w:p w14:paraId="2A55B583" w14:textId="77777777" w:rsidR="002C623B" w:rsidRPr="008859F2" w:rsidRDefault="002C623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400079, г. Волгоград, ул. Санаторная, 29, ФБУ Центр реабилитации Фонда социального страхования Российской Федерации "Волгоград";</w:t>
            </w:r>
          </w:p>
        </w:tc>
        <w:tc>
          <w:tcPr>
            <w:tcW w:w="851" w:type="dxa"/>
          </w:tcPr>
          <w:p w14:paraId="352135C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184524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C2164F8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B77B4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9467A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6126202B" w14:textId="77777777" w:rsidTr="009269D8">
        <w:tc>
          <w:tcPr>
            <w:tcW w:w="741" w:type="dxa"/>
          </w:tcPr>
          <w:p w14:paraId="112C4C91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8" w:type="dxa"/>
          </w:tcPr>
          <w:p w14:paraId="6B8200EF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413864, Саратовская область, г. Балаково, ул. Саратовское шоссе, 41, ФБУ Центр реабилитации Фонда социального страхования Российской Федерации "Волга";</w:t>
            </w:r>
          </w:p>
        </w:tc>
        <w:tc>
          <w:tcPr>
            <w:tcW w:w="851" w:type="dxa"/>
          </w:tcPr>
          <w:p w14:paraId="756ABBBE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B1700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233D5F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618E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212C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7F170840" w14:textId="77777777" w:rsidTr="009269D8">
        <w:tc>
          <w:tcPr>
            <w:tcW w:w="741" w:type="dxa"/>
          </w:tcPr>
          <w:p w14:paraId="0EACEEA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8" w:type="dxa"/>
          </w:tcPr>
          <w:p w14:paraId="1B4C0A02" w14:textId="77777777" w:rsidR="002C623B" w:rsidRPr="008859F2" w:rsidRDefault="002C623B" w:rsidP="00460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143057, Московская обл., Одинцовский район, с. 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, ФБУ Реабилитационный и учебный центр Фонда социального страхования Российской Федерации;</w:t>
            </w:r>
          </w:p>
        </w:tc>
        <w:tc>
          <w:tcPr>
            <w:tcW w:w="851" w:type="dxa"/>
          </w:tcPr>
          <w:p w14:paraId="4F28AEF1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C209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00A9D1D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A4915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2C67E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3B" w:rsidRPr="008859F2" w14:paraId="78F010CB" w14:textId="77777777" w:rsidTr="009269D8">
        <w:tc>
          <w:tcPr>
            <w:tcW w:w="741" w:type="dxa"/>
          </w:tcPr>
          <w:p w14:paraId="31A48C1E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8" w:type="dxa"/>
          </w:tcPr>
          <w:p w14:paraId="10A020F6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107078, Москва, Орликов переулок, д. 3а</w:t>
            </w:r>
          </w:p>
        </w:tc>
        <w:tc>
          <w:tcPr>
            <w:tcW w:w="851" w:type="dxa"/>
          </w:tcPr>
          <w:p w14:paraId="6A1D2A79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F34B21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635C3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994E97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ECA8D0" w14:textId="77777777" w:rsidR="002C623B" w:rsidRPr="008859F2" w:rsidRDefault="002C623B">
            <w:pPr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C12612" w14:textId="77777777" w:rsidR="002D2072" w:rsidRPr="008859F2" w:rsidRDefault="002D2072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E50CA" w14:textId="77777777" w:rsidR="002D2072" w:rsidRPr="008859F2" w:rsidRDefault="002D2072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E1D77" w14:textId="77777777" w:rsidR="002D2072" w:rsidRPr="008859F2" w:rsidRDefault="002D2072">
      <w:pPr>
        <w:spacing w:after="6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2072" w:rsidRPr="008859F2">
      <w:pgSz w:w="16838" w:h="11906" w:orient="landscape"/>
      <w:pgMar w:top="1134" w:right="238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23252" w14:textId="77777777" w:rsidR="00307EDD" w:rsidRDefault="00307EDD">
      <w:r>
        <w:separator/>
      </w:r>
    </w:p>
  </w:endnote>
  <w:endnote w:type="continuationSeparator" w:id="0">
    <w:p w14:paraId="52C770CB" w14:textId="77777777" w:rsidR="00307EDD" w:rsidRDefault="003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0149" w14:textId="77777777" w:rsidR="002D2072" w:rsidRDefault="00304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8150005" w14:textId="77777777" w:rsidR="002D2072" w:rsidRDefault="002D20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8AEA9FD" w14:textId="77777777" w:rsidR="002D2072" w:rsidRDefault="002D2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8950" w14:textId="77777777" w:rsidR="00307EDD" w:rsidRDefault="00307EDD">
      <w:r>
        <w:separator/>
      </w:r>
    </w:p>
  </w:footnote>
  <w:footnote w:type="continuationSeparator" w:id="0">
    <w:p w14:paraId="4CA8253E" w14:textId="77777777" w:rsidR="00307EDD" w:rsidRDefault="0030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5CBE" w14:textId="77777777" w:rsidR="002D2072" w:rsidRDefault="002D20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A65F2" w14:textId="77777777" w:rsidR="002D2072" w:rsidRDefault="002D20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14:paraId="1E15C816" w14:textId="77777777" w:rsidR="002D2072" w:rsidRDefault="002D20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 w15:restartNumberingAfterBreak="0">
    <w:nsid w:val="072A0205"/>
    <w:multiLevelType w:val="multilevel"/>
    <w:tmpl w:val="34B8E1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B31F7"/>
    <w:multiLevelType w:val="multilevel"/>
    <w:tmpl w:val="199E2F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71E64"/>
    <w:multiLevelType w:val="multilevel"/>
    <w:tmpl w:val="3E329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393B15"/>
    <w:multiLevelType w:val="multilevel"/>
    <w:tmpl w:val="834A28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40429B"/>
    <w:multiLevelType w:val="multilevel"/>
    <w:tmpl w:val="E1AAD5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751F8D"/>
    <w:multiLevelType w:val="multilevel"/>
    <w:tmpl w:val="5540D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15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515AA9"/>
    <w:multiLevelType w:val="multilevel"/>
    <w:tmpl w:val="84D0C1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E724D2"/>
    <w:multiLevelType w:val="multilevel"/>
    <w:tmpl w:val="68AE445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4C4F6D"/>
    <w:multiLevelType w:val="multilevel"/>
    <w:tmpl w:val="B27E0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5D7C97"/>
    <w:multiLevelType w:val="multilevel"/>
    <w:tmpl w:val="DF50A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FD410C"/>
    <w:multiLevelType w:val="multilevel"/>
    <w:tmpl w:val="305A5B6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4279A7"/>
    <w:multiLevelType w:val="multilevel"/>
    <w:tmpl w:val="A8928A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A6336E"/>
    <w:multiLevelType w:val="multilevel"/>
    <w:tmpl w:val="70F4E454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3666" w:hanging="431"/>
      </w:pPr>
      <w:rPr>
        <w:b/>
      </w:rPr>
    </w:lvl>
    <w:lvl w:ilvl="2">
      <w:start w:val="1"/>
      <w:numFmt w:val="decimal"/>
      <w:lvlText w:val="%1.%2.%3."/>
      <w:lvlJc w:val="left"/>
      <w:pPr>
        <w:ind w:left="3918" w:hanging="503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14" w15:restartNumberingAfterBreak="0">
    <w:nsid w:val="56292E2B"/>
    <w:multiLevelType w:val="multilevel"/>
    <w:tmpl w:val="BA525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A4614E"/>
    <w:multiLevelType w:val="multilevel"/>
    <w:tmpl w:val="53B608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4B52B8"/>
    <w:multiLevelType w:val="multilevel"/>
    <w:tmpl w:val="4D2CE4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08014C"/>
    <w:multiLevelType w:val="multilevel"/>
    <w:tmpl w:val="F970CA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4"/>
  </w:num>
  <w:num w:numId="15">
    <w:abstractNumId w:val="3"/>
  </w:num>
  <w:num w:numId="16">
    <w:abstractNumId w:val="12"/>
  </w:num>
  <w:num w:numId="17">
    <w:abstractNumId w:val="13"/>
  </w:num>
  <w:num w:numId="18">
    <w:abstractNumId w:val="0"/>
    <w:lvlOverride w:ilvl="0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72"/>
    <w:rsid w:val="00044C73"/>
    <w:rsid w:val="000E62EE"/>
    <w:rsid w:val="002C623B"/>
    <w:rsid w:val="002D2072"/>
    <w:rsid w:val="00304424"/>
    <w:rsid w:val="00307EDD"/>
    <w:rsid w:val="003E5217"/>
    <w:rsid w:val="004433BD"/>
    <w:rsid w:val="00460CA1"/>
    <w:rsid w:val="00594732"/>
    <w:rsid w:val="005F72EC"/>
    <w:rsid w:val="00647C8B"/>
    <w:rsid w:val="008859F2"/>
    <w:rsid w:val="009269D8"/>
    <w:rsid w:val="009423F3"/>
    <w:rsid w:val="00B83E87"/>
    <w:rsid w:val="00E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E16C"/>
  <w15:docId w15:val="{52329AF2-B495-4BAF-A17F-FFE40FFA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6091"/>
      <w:sz w:val="24"/>
      <w:szCs w:val="24"/>
    </w:rPr>
  </w:style>
  <w:style w:type="paragraph" w:styleId="2">
    <w:name w:val="heading 2"/>
    <w:basedOn w:val="a"/>
    <w:next w:val="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6091"/>
      <w:sz w:val="24"/>
      <w:szCs w:val="24"/>
    </w:rPr>
  </w:style>
  <w:style w:type="paragraph" w:styleId="3">
    <w:name w:val="heading 3"/>
    <w:basedOn w:val="a"/>
    <w:next w:val="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5">
    <w:name w:val="heading 5"/>
    <w:basedOn w:val="a"/>
    <w:next w:val="a"/>
    <w:pPr>
      <w:spacing w:before="200" w:after="80"/>
      <w:ind w:firstLine="0"/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next w:val="a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1"/>
      <w:sz w:val="60"/>
      <w:szCs w:val="60"/>
    </w:rPr>
  </w:style>
  <w:style w:type="paragraph" w:styleId="a4">
    <w:name w:val="Subtitle"/>
    <w:basedOn w:val="a"/>
    <w:next w:val="a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5">
    <w:basedOn w:val="TableNormal"/>
    <w:pPr>
      <w:spacing w:after="60"/>
      <w:jc w:val="both"/>
    </w:pPr>
    <w:rPr>
      <w:rFonts w:ascii="Times New Roman" w:eastAsia="Times New Roman" w:hAnsi="Times New Roman" w:cs="Times New Roman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DFDF"/>
    </w:tcPr>
  </w:style>
  <w:style w:type="table" w:customStyle="1" w:styleId="a6">
    <w:basedOn w:val="TableNormal"/>
    <w:pPr>
      <w:spacing w:after="60"/>
      <w:jc w:val="both"/>
    </w:pPr>
    <w:rPr>
      <w:rFonts w:ascii="Times New Roman" w:eastAsia="Times New Roman" w:hAnsi="Times New Roman" w:cs="Times New Roman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DFDF"/>
    </w:tc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aliases w:val="Aa?oiee eieiioeooe,Linie,sl_header"/>
    <w:basedOn w:val="a"/>
    <w:link w:val="a9"/>
    <w:uiPriority w:val="99"/>
    <w:unhideWhenUsed/>
    <w:rsid w:val="00304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Aa?oiee eieiioeooe Знак,Linie Знак,sl_header Знак"/>
    <w:basedOn w:val="a0"/>
    <w:link w:val="a8"/>
    <w:uiPriority w:val="99"/>
    <w:rsid w:val="00304424"/>
  </w:style>
  <w:style w:type="paragraph" w:styleId="aa">
    <w:name w:val="footer"/>
    <w:basedOn w:val="a"/>
    <w:link w:val="ab"/>
    <w:uiPriority w:val="99"/>
    <w:unhideWhenUsed/>
    <w:rsid w:val="00304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424"/>
  </w:style>
  <w:style w:type="paragraph" w:styleId="ac">
    <w:name w:val="Balloon Text"/>
    <w:basedOn w:val="a"/>
    <w:link w:val="ad"/>
    <w:uiPriority w:val="99"/>
    <w:semiHidden/>
    <w:unhideWhenUsed/>
    <w:rsid w:val="000E62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2EE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62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62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62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2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62EE"/>
    <w:rPr>
      <w:b/>
      <w:bCs/>
      <w:sz w:val="20"/>
      <w:szCs w:val="20"/>
    </w:rPr>
  </w:style>
  <w:style w:type="table" w:styleId="af3">
    <w:name w:val="Table Grid"/>
    <w:basedOn w:val="a1"/>
    <w:rsid w:val="008859F2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aliases w:val="%Hyperlink"/>
    <w:uiPriority w:val="99"/>
    <w:rsid w:val="008859F2"/>
    <w:rPr>
      <w:color w:val="0000FF"/>
      <w:u w:val="single"/>
    </w:rPr>
  </w:style>
  <w:style w:type="character" w:styleId="af5">
    <w:name w:val="page number"/>
    <w:rsid w:val="008859F2"/>
    <w:rPr>
      <w:rFonts w:ascii="Times New Roman" w:hAnsi="Times New Roman"/>
    </w:rPr>
  </w:style>
  <w:style w:type="paragraph" w:customStyle="1" w:styleId="11">
    <w:name w:val="1.1 подпункт Знак"/>
    <w:basedOn w:val="a"/>
    <w:link w:val="110"/>
    <w:autoRedefine/>
    <w:rsid w:val="008859F2"/>
    <w:pPr>
      <w:widowControl w:val="0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0">
    <w:name w:val="1.1 подпункт Знак Знак"/>
    <w:link w:val="11"/>
    <w:rsid w:val="008859F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1 Часть"/>
    <w:basedOn w:val="a"/>
    <w:next w:val="11"/>
    <w:autoRedefine/>
    <w:rsid w:val="008859F2"/>
    <w:pPr>
      <w:tabs>
        <w:tab w:val="num" w:pos="993"/>
      </w:tabs>
      <w:ind w:left="426" w:firstLine="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numbering" w:customStyle="1" w:styleId="2411">
    <w:name w:val="Стиль2411"/>
    <w:rsid w:val="008859F2"/>
    <w:pPr>
      <w:numPr>
        <w:numId w:val="19"/>
      </w:numPr>
    </w:pPr>
  </w:style>
  <w:style w:type="table" w:customStyle="1" w:styleId="55">
    <w:name w:val="Сетка таблицы55"/>
    <w:basedOn w:val="a1"/>
    <w:next w:val="af3"/>
    <w:uiPriority w:val="59"/>
    <w:rsid w:val="008859F2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Заплеталов Алексей Дмитриевич</dc:creator>
  <cp:lastModifiedBy>Мамонтов Константин Константинович</cp:lastModifiedBy>
  <cp:revision>4</cp:revision>
  <dcterms:created xsi:type="dcterms:W3CDTF">2021-04-15T13:15:00Z</dcterms:created>
  <dcterms:modified xsi:type="dcterms:W3CDTF">2021-04-30T08:41:00Z</dcterms:modified>
</cp:coreProperties>
</file>