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C7" w:rsidRDefault="00B069C7" w:rsidP="00B069C7">
      <w:pPr>
        <w:shd w:val="clear" w:color="auto" w:fill="FFFFFF"/>
        <w:suppressAutoHyphens/>
        <w:ind w:left="-567" w:right="-283"/>
        <w:jc w:val="center"/>
        <w:rPr>
          <w:b/>
          <w:bCs/>
          <w:color w:val="000000"/>
          <w:spacing w:val="7"/>
          <w:sz w:val="22"/>
          <w:szCs w:val="22"/>
          <w:u w:val="single"/>
          <w:lang w:eastAsia="ar-SA"/>
        </w:rPr>
      </w:pPr>
      <w:r w:rsidRPr="00AD3A54">
        <w:rPr>
          <w:b/>
          <w:bCs/>
          <w:color w:val="000000"/>
          <w:spacing w:val="7"/>
          <w:sz w:val="22"/>
          <w:szCs w:val="22"/>
          <w:u w:val="single"/>
          <w:lang w:eastAsia="ar-SA"/>
        </w:rPr>
        <w:t>ТЕХНИЧЕСКОЕ ЗАДАНИЕ</w:t>
      </w:r>
    </w:p>
    <w:p w:rsidR="00B069C7" w:rsidRPr="00937746" w:rsidRDefault="00B069C7" w:rsidP="00B069C7">
      <w:pPr>
        <w:jc w:val="right"/>
        <w:rPr>
          <w:b/>
          <w:sz w:val="1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  <w:gridCol w:w="992"/>
      </w:tblGrid>
      <w:tr w:rsidR="00B069C7" w:rsidRPr="003272A4" w:rsidTr="00B069C7">
        <w:tc>
          <w:tcPr>
            <w:tcW w:w="1701" w:type="dxa"/>
          </w:tcPr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  <w:r w:rsidRPr="003272A4">
              <w:rPr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7655" w:type="dxa"/>
          </w:tcPr>
          <w:p w:rsidR="00B069C7" w:rsidRPr="003272A4" w:rsidRDefault="00B069C7" w:rsidP="004250AE">
            <w:pPr>
              <w:suppressAutoHyphens/>
              <w:snapToGrid w:val="0"/>
              <w:ind w:left="-79"/>
              <w:jc w:val="center"/>
              <w:rPr>
                <w:b/>
                <w:sz w:val="22"/>
                <w:szCs w:val="22"/>
                <w:lang w:eastAsia="ar-SA"/>
              </w:rPr>
            </w:pPr>
            <w:r w:rsidRPr="003272A4">
              <w:rPr>
                <w:b/>
                <w:sz w:val="22"/>
                <w:szCs w:val="22"/>
                <w:lang w:eastAsia="ar-SA"/>
              </w:rPr>
              <w:t>Описание функциональных, технических и качественных характеристик</w:t>
            </w:r>
          </w:p>
        </w:tc>
        <w:tc>
          <w:tcPr>
            <w:tcW w:w="992" w:type="dxa"/>
          </w:tcPr>
          <w:p w:rsidR="00B069C7" w:rsidRPr="003272A4" w:rsidRDefault="00B069C7" w:rsidP="004250AE">
            <w:pPr>
              <w:tabs>
                <w:tab w:val="left" w:pos="203"/>
                <w:tab w:val="left" w:pos="776"/>
              </w:tabs>
              <w:suppressAutoHyphens/>
              <w:snapToGrid w:val="0"/>
              <w:ind w:left="-79"/>
              <w:jc w:val="center"/>
              <w:rPr>
                <w:sz w:val="22"/>
                <w:szCs w:val="22"/>
                <w:lang w:eastAsia="ar-SA"/>
              </w:rPr>
            </w:pPr>
            <w:r w:rsidRPr="003272A4">
              <w:rPr>
                <w:rFonts w:eastAsia="Arial"/>
                <w:b/>
                <w:bCs/>
                <w:sz w:val="22"/>
                <w:szCs w:val="22"/>
                <w:lang w:eastAsia="ar-SA"/>
              </w:rPr>
              <w:t>Кол-во, шт.</w:t>
            </w:r>
          </w:p>
        </w:tc>
      </w:tr>
      <w:tr w:rsidR="00B069C7" w:rsidRPr="003272A4" w:rsidTr="00B069C7">
        <w:tc>
          <w:tcPr>
            <w:tcW w:w="1701" w:type="dxa"/>
          </w:tcPr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b/>
                <w:sz w:val="22"/>
                <w:szCs w:val="22"/>
                <w:lang w:eastAsia="ar-SA"/>
              </w:rPr>
            </w:pPr>
            <w:r w:rsidRPr="003272A4">
              <w:rPr>
                <w:b/>
                <w:sz w:val="22"/>
                <w:szCs w:val="22"/>
                <w:lang w:eastAsia="ar-SA"/>
              </w:rPr>
              <w:t>Подгузники для взрослых</w:t>
            </w:r>
          </w:p>
        </w:tc>
        <w:tc>
          <w:tcPr>
            <w:tcW w:w="7655" w:type="dxa"/>
          </w:tcPr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Подгузники </w:t>
            </w:r>
            <w:r w:rsidRPr="003272A4">
              <w:rPr>
                <w:sz w:val="22"/>
                <w:szCs w:val="22"/>
              </w:rPr>
              <w:t>должны обеспечивать соблюдение санитарно-гигиенических условий для инвалидов с нарушениями функций выделения, в том числе находящихся на постельном режиме.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Подгузники должны соответствовать ГОСТ Р 55082-2012 «Изделия бумажные медицинского назначения. Подгузники для взрослых. Общие технические условия.», в следующей части («ссылка»):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Требования к конструкции подгузников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Конструкция подгузников включает в себя (начиная со слоя, контактирующего с кожей человека):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верхний покровный слой;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распределительный слой;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абсорбирующий слой, состоящий из одного или двух впитывающих слоев;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защитный слой;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нижний покровный слой;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барьерные элементы;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фиксирующие элементы;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индикатор наполнения подгузника (при наличии).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При отсутствии нижнего покровного слоя его ф</w:t>
            </w:r>
            <w:r>
              <w:rPr>
                <w:bCs/>
                <w:sz w:val="22"/>
                <w:szCs w:val="22"/>
              </w:rPr>
              <w:t>ункцию должен выполнять защитный слой.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Требования к внешнему виду</w:t>
            </w:r>
            <w:r>
              <w:rPr>
                <w:bCs/>
                <w:sz w:val="22"/>
                <w:szCs w:val="22"/>
              </w:rPr>
              <w:t>.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 xml:space="preserve">В подгузниках не допускаются внешние дефекты - механические повреждения (разрыв краев, разрезы, </w:t>
            </w:r>
            <w:r w:rsidRPr="000E5F07">
              <w:rPr>
                <w:bCs/>
                <w:sz w:val="22"/>
                <w:szCs w:val="22"/>
              </w:rPr>
              <w:t>повреждения фиксирующих элементов и т.п.), пятна различного происхождения, посторонние включения, видимые невооруженным глазом.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 xml:space="preserve">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0E5F07">
              <w:rPr>
                <w:bCs/>
                <w:sz w:val="22"/>
                <w:szCs w:val="22"/>
              </w:rPr>
              <w:t>выщипывания</w:t>
            </w:r>
            <w:proofErr w:type="spellEnd"/>
            <w:r w:rsidRPr="000E5F07">
              <w:rPr>
                <w:bCs/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 w:rsidRPr="000E5F07">
              <w:rPr>
                <w:bCs/>
                <w:sz w:val="22"/>
                <w:szCs w:val="22"/>
              </w:rPr>
              <w:t>отмарывание</w:t>
            </w:r>
            <w:proofErr w:type="spellEnd"/>
            <w:r w:rsidRPr="000E5F07">
              <w:rPr>
                <w:bCs/>
                <w:sz w:val="22"/>
                <w:szCs w:val="22"/>
              </w:rPr>
              <w:t xml:space="preserve"> краски.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Для изготовления подгузников должны применяться следующие материалы: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действующих стандартов;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- для распределительного слоя: нетканый материал или бумага бытового и санитарно-гигиенического назначения массой бумаги (материала) площадью 1 м Подгузники для взрослых. Общие технические условия: не более 25,0 г из целлюлозы и древесной массы. Не допускается использование бумаги для изделий бытового и санитарно-гигиенического назначения, изготовленной из бумажной и картонной макулатуры по ГОСТ 10700;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 xml:space="preserve">- для абсорбирующего слоя: волокнистые полуфабрикаты преимущественно древесного происхождения (целлюлозные волокна, целлюлозная вата, целлюлозное полотно с добавлением химических волокон или без них) и </w:t>
            </w:r>
            <w:proofErr w:type="spellStart"/>
            <w:r w:rsidRPr="000E5F07">
              <w:rPr>
                <w:bCs/>
                <w:sz w:val="22"/>
                <w:szCs w:val="22"/>
              </w:rPr>
              <w:t>суперабсорбент</w:t>
            </w:r>
            <w:proofErr w:type="spellEnd"/>
            <w:r w:rsidRPr="000E5F07">
              <w:rPr>
                <w:bCs/>
                <w:sz w:val="22"/>
                <w:szCs w:val="22"/>
              </w:rPr>
              <w:t xml:space="preserve"> на основе полимеров акриловой кислоты;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- для защитного слоя: полимерную пленку толщиной не более 30 мкм.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</w:t>
            </w:r>
            <w:proofErr w:type="spellStart"/>
            <w:r w:rsidRPr="000E5F07">
              <w:rPr>
                <w:bCs/>
                <w:sz w:val="22"/>
                <w:szCs w:val="22"/>
              </w:rPr>
              <w:t>Роспотребнадзора</w:t>
            </w:r>
            <w:proofErr w:type="spellEnd"/>
            <w:r w:rsidRPr="000E5F07">
              <w:rPr>
                <w:bCs/>
                <w:sz w:val="22"/>
                <w:szCs w:val="22"/>
              </w:rPr>
              <w:t>) и обеспечивающих безопасность и функциональное назначение подгузников».</w:t>
            </w:r>
          </w:p>
          <w:p w:rsidR="00B069C7" w:rsidRPr="000E5F07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непрерывными».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0E5F07">
              <w:rPr>
                <w:bCs/>
                <w:sz w:val="22"/>
                <w:szCs w:val="22"/>
              </w:rPr>
              <w:t>Маркировка.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</w:t>
            </w:r>
            <w:r w:rsidRPr="003272A4">
              <w:rPr>
                <w:bCs/>
                <w:sz w:val="22"/>
                <w:szCs w:val="22"/>
              </w:rPr>
              <w:lastRenderedPageBreak/>
              <w:t xml:space="preserve">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3272A4">
              <w:rPr>
                <w:bCs/>
                <w:sz w:val="22"/>
                <w:szCs w:val="22"/>
              </w:rPr>
              <w:t>отмарывание</w:t>
            </w:r>
            <w:proofErr w:type="spellEnd"/>
            <w:r w:rsidRPr="003272A4">
              <w:rPr>
                <w:bCs/>
                <w:sz w:val="22"/>
                <w:szCs w:val="22"/>
              </w:rPr>
              <w:t xml:space="preserve"> краски не допускается.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Маркировка на потребительской упаковке подгузников должна содержать: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наименование страны-изготовителя;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наименование и местонахождение изготовителя (продавца, поставщика), товарный знак (при наличии);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правила по применению подгузника (в виде рисунков или текста);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указания по утилизации подгузника: слова "Не бросать в канализацию" и/или рисунок, понятно отображающий эти указания;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информацию о наличии специальных ингредиентов;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отличительные характеристики подгузника в соответствии с техническим исполнением (в виде рисунков и/или текста);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номер артикула (при наличии);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количество подгузников в упаковке;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дату (месяц, год) изготовления;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срок годности, устанавливаемый изготовителем;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обозначение настоящего стандарта;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- штриховой код (при наличии).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Допускается дополнительно наносить основную информацию о подгузнике (товарную марку, обозначение группы и др.) на нижний покровный слой, а при его отсутствии - на защитный слой подгузника.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Не допускается наносить информацию о специальных свойствах подгузника, например, "защищает кожу от раздражения", "поглощает запах", "воздухопроницаемый", "экологически чистый" и т.п., без соответствующего документального подтверждения.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т.д.)»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Упаковка.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Подгузники в количестве, определяемом производителем, упаковывают в пакеты из полимерной пленки или пачки в соответствии с ГОСТ 33781-2016, или другую потребительскую упаковку, обеспечивающую сохранность подгузников при транспортировании и хранении.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Швы в пакетах из полимерной пленки должны быть заварены.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>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pacing w:line="240" w:lineRule="atLeast"/>
              <w:ind w:left="-79"/>
              <w:jc w:val="both"/>
              <w:rPr>
                <w:bCs/>
                <w:sz w:val="22"/>
                <w:szCs w:val="22"/>
              </w:rPr>
            </w:pPr>
            <w:r w:rsidRPr="003272A4">
              <w:rPr>
                <w:bCs/>
                <w:sz w:val="22"/>
                <w:szCs w:val="22"/>
              </w:rPr>
              <w:t xml:space="preserve">Не допускается механическое повреждение упаковки, открывающее </w:t>
            </w:r>
            <w:r>
              <w:rPr>
                <w:bCs/>
                <w:sz w:val="22"/>
                <w:szCs w:val="22"/>
              </w:rPr>
              <w:t>доступ к поверхности подгузника</w:t>
            </w:r>
            <w:r w:rsidRPr="003272A4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  <w:p w:rsidR="00B069C7" w:rsidRPr="003272A4" w:rsidRDefault="00B069C7" w:rsidP="004250AE">
            <w:pPr>
              <w:keepNext/>
              <w:tabs>
                <w:tab w:val="left" w:pos="708"/>
              </w:tabs>
              <w:suppressAutoHyphens/>
              <w:spacing w:line="240" w:lineRule="atLeast"/>
              <w:ind w:left="-79"/>
              <w:jc w:val="both"/>
              <w:rPr>
                <w:sz w:val="22"/>
                <w:szCs w:val="22"/>
                <w:lang w:eastAsia="ar-SA"/>
              </w:rPr>
            </w:pPr>
            <w:r w:rsidRPr="003272A4">
              <w:rPr>
                <w:sz w:val="22"/>
                <w:szCs w:val="22"/>
              </w:rPr>
              <w:t>Подгузники должны соответствовать стандартам серии ГОСТ Р ИСО 10993-1-2011 «Оценка биологического действия медицинских изделий», ГОСТ Р ИСО 10993-5-2011 «Оценка биологического действия медицинских изделий», ГОСТ Р ИСО 10993-10-2011 «Оценка биологического действия медицинских изделий» (проверяется   наличие документов, выданных в соответствии с законодательством Российской Федерации, подтверждающих такую информацию).</w:t>
            </w:r>
          </w:p>
        </w:tc>
        <w:tc>
          <w:tcPr>
            <w:tcW w:w="992" w:type="dxa"/>
          </w:tcPr>
          <w:p w:rsidR="00B069C7" w:rsidRPr="003272A4" w:rsidRDefault="00B069C7" w:rsidP="004250AE">
            <w:pPr>
              <w:tabs>
                <w:tab w:val="left" w:pos="776"/>
              </w:tabs>
              <w:suppressAutoHyphens/>
              <w:snapToGrid w:val="0"/>
              <w:ind w:left="-79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069C7" w:rsidRPr="003272A4" w:rsidTr="00B069C7">
        <w:trPr>
          <w:cantSplit/>
          <w:trHeight w:hRule="exact" w:val="1679"/>
        </w:trPr>
        <w:tc>
          <w:tcPr>
            <w:tcW w:w="1701" w:type="dxa"/>
            <w:vMerge w:val="restart"/>
          </w:tcPr>
          <w:p w:rsidR="00B069C7" w:rsidRPr="003272A4" w:rsidRDefault="00B069C7" w:rsidP="004250AE">
            <w:pPr>
              <w:suppressAutoHyphens/>
              <w:snapToGrid w:val="0"/>
              <w:ind w:left="-8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</w:tcPr>
          <w:p w:rsidR="00B069C7" w:rsidRPr="003272A4" w:rsidRDefault="00B069C7" w:rsidP="004250AE">
            <w:pPr>
              <w:keepNext/>
              <w:suppressAutoHyphens/>
              <w:snapToGrid w:val="0"/>
              <w:ind w:left="-79"/>
              <w:jc w:val="both"/>
              <w:rPr>
                <w:i/>
                <w:sz w:val="20"/>
                <w:szCs w:val="22"/>
                <w:lang w:eastAsia="ar-SA"/>
              </w:rPr>
            </w:pPr>
            <w:r w:rsidRPr="003272A4">
              <w:rPr>
                <w:i/>
                <w:sz w:val="20"/>
                <w:szCs w:val="22"/>
              </w:rPr>
              <w:t>В соответствии с пунктом 15.1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</w:t>
            </w:r>
            <w:r>
              <w:rPr>
                <w:i/>
                <w:sz w:val="20"/>
                <w:szCs w:val="22"/>
              </w:rPr>
              <w:t>, Приказом Минтруда России от 05</w:t>
            </w:r>
            <w:r w:rsidRPr="003272A4">
              <w:rPr>
                <w:i/>
                <w:sz w:val="20"/>
                <w:szCs w:val="22"/>
              </w:rPr>
              <w:t>.0</w:t>
            </w:r>
            <w:r>
              <w:rPr>
                <w:i/>
                <w:sz w:val="20"/>
                <w:szCs w:val="22"/>
              </w:rPr>
              <w:t>3.2021 N 107</w:t>
            </w:r>
            <w:r w:rsidRPr="003272A4">
              <w:rPr>
                <w:i/>
                <w:sz w:val="20"/>
                <w:szCs w:val="22"/>
              </w:rPr>
              <w:t>н "Об утверждении Сроков пользования техническими средствами реабилитации, протезами и протезно-ортопедическими изделиями до их замены" подгузники должны соответствовать параметрам:</w:t>
            </w:r>
          </w:p>
        </w:tc>
        <w:tc>
          <w:tcPr>
            <w:tcW w:w="992" w:type="dxa"/>
          </w:tcPr>
          <w:p w:rsidR="00B069C7" w:rsidRPr="003272A4" w:rsidRDefault="00B069C7" w:rsidP="004250AE">
            <w:pPr>
              <w:tabs>
                <w:tab w:val="left" w:pos="776"/>
              </w:tabs>
              <w:suppressAutoHyphens/>
              <w:ind w:left="-79"/>
              <w:rPr>
                <w:sz w:val="22"/>
                <w:szCs w:val="22"/>
                <w:lang w:eastAsia="ar-SA"/>
              </w:rPr>
            </w:pPr>
          </w:p>
        </w:tc>
      </w:tr>
      <w:tr w:rsidR="00B069C7" w:rsidRPr="003272A4" w:rsidTr="00B069C7">
        <w:trPr>
          <w:cantSplit/>
          <w:trHeight w:val="490"/>
        </w:trPr>
        <w:tc>
          <w:tcPr>
            <w:tcW w:w="1701" w:type="dxa"/>
            <w:vMerge/>
          </w:tcPr>
          <w:p w:rsidR="00B069C7" w:rsidRPr="003272A4" w:rsidRDefault="00B069C7" w:rsidP="004250AE">
            <w:pPr>
              <w:suppressAutoHyphens/>
              <w:snapToGrid w:val="0"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vAlign w:val="center"/>
          </w:tcPr>
          <w:p w:rsidR="00B069C7" w:rsidRPr="003272A4" w:rsidRDefault="00B069C7" w:rsidP="004250AE">
            <w:pPr>
              <w:tabs>
                <w:tab w:val="left" w:pos="1785"/>
              </w:tabs>
              <w:ind w:left="-79"/>
              <w:jc w:val="both"/>
              <w:rPr>
                <w:b/>
                <w:sz w:val="22"/>
                <w:szCs w:val="22"/>
              </w:rPr>
            </w:pPr>
            <w:r w:rsidRPr="003272A4">
              <w:rPr>
                <w:b/>
                <w:sz w:val="22"/>
                <w:szCs w:val="22"/>
              </w:rPr>
              <w:t xml:space="preserve">Подгузники для взрослых, размер "S" </w:t>
            </w:r>
          </w:p>
          <w:p w:rsidR="00B069C7" w:rsidRPr="003272A4" w:rsidRDefault="00B069C7" w:rsidP="004250AE">
            <w:pPr>
              <w:tabs>
                <w:tab w:val="left" w:pos="1785"/>
              </w:tabs>
              <w:ind w:left="-79"/>
              <w:jc w:val="both"/>
              <w:rPr>
                <w:color w:val="000000"/>
                <w:sz w:val="22"/>
                <w:szCs w:val="22"/>
              </w:rPr>
            </w:pPr>
            <w:r w:rsidRPr="003272A4">
              <w:rPr>
                <w:color w:val="000000"/>
                <w:sz w:val="22"/>
                <w:szCs w:val="22"/>
              </w:rPr>
              <w:t>(объем талии/бедер до 90 см) с полным влагопоглощением не менее 1000 гр.</w:t>
            </w:r>
          </w:p>
          <w:p w:rsidR="00B069C7" w:rsidRPr="003272A4" w:rsidRDefault="00B069C7" w:rsidP="004250AE">
            <w:pPr>
              <w:tabs>
                <w:tab w:val="left" w:pos="1785"/>
              </w:tabs>
              <w:suppressAutoHyphens/>
              <w:ind w:left="-79"/>
              <w:jc w:val="both"/>
              <w:rPr>
                <w:b/>
                <w:sz w:val="22"/>
                <w:szCs w:val="22"/>
                <w:lang w:eastAsia="ar-SA"/>
              </w:rPr>
            </w:pPr>
            <w:r w:rsidRPr="003272A4">
              <w:rPr>
                <w:sz w:val="22"/>
                <w:szCs w:val="22"/>
              </w:rPr>
              <w:t>Полное влагопоглощение не менее 1000 грамм, обратная сорбция не более 4,4 грамм, скорость впитывания не менее 2,3 см куб. в секунду.</w:t>
            </w:r>
          </w:p>
        </w:tc>
        <w:tc>
          <w:tcPr>
            <w:tcW w:w="992" w:type="dxa"/>
            <w:vAlign w:val="center"/>
          </w:tcPr>
          <w:p w:rsidR="00B069C7" w:rsidRPr="003272A4" w:rsidRDefault="00B069C7" w:rsidP="004250AE">
            <w:pPr>
              <w:tabs>
                <w:tab w:val="left" w:pos="776"/>
              </w:tabs>
              <w:snapToGrid w:val="0"/>
              <w:spacing w:line="300" w:lineRule="auto"/>
              <w:ind w:left="-79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9 900</w:t>
            </w:r>
          </w:p>
        </w:tc>
      </w:tr>
      <w:tr w:rsidR="00B069C7" w:rsidRPr="003272A4" w:rsidTr="00B069C7">
        <w:trPr>
          <w:cantSplit/>
          <w:trHeight w:val="695"/>
        </w:trPr>
        <w:tc>
          <w:tcPr>
            <w:tcW w:w="1701" w:type="dxa"/>
            <w:vMerge/>
          </w:tcPr>
          <w:p w:rsidR="00B069C7" w:rsidRPr="003272A4" w:rsidRDefault="00B069C7" w:rsidP="004250AE">
            <w:pPr>
              <w:suppressAutoHyphens/>
              <w:snapToGrid w:val="0"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vAlign w:val="center"/>
          </w:tcPr>
          <w:p w:rsidR="00B069C7" w:rsidRPr="003272A4" w:rsidRDefault="00B069C7" w:rsidP="004250AE">
            <w:pPr>
              <w:keepNext/>
              <w:snapToGrid w:val="0"/>
              <w:ind w:left="-79"/>
              <w:jc w:val="both"/>
              <w:rPr>
                <w:b/>
                <w:color w:val="000000"/>
                <w:sz w:val="22"/>
                <w:szCs w:val="22"/>
              </w:rPr>
            </w:pPr>
            <w:r w:rsidRPr="003272A4">
              <w:rPr>
                <w:b/>
                <w:color w:val="000000"/>
                <w:sz w:val="22"/>
                <w:szCs w:val="22"/>
              </w:rPr>
              <w:t xml:space="preserve">Подгузники для взрослых, размер «M» </w:t>
            </w:r>
          </w:p>
          <w:p w:rsidR="00B069C7" w:rsidRPr="003272A4" w:rsidRDefault="00B069C7" w:rsidP="004250AE">
            <w:pPr>
              <w:ind w:left="-79"/>
              <w:jc w:val="both"/>
              <w:rPr>
                <w:color w:val="000000"/>
                <w:sz w:val="22"/>
                <w:szCs w:val="22"/>
              </w:rPr>
            </w:pPr>
            <w:r w:rsidRPr="003272A4">
              <w:rPr>
                <w:color w:val="000000"/>
                <w:sz w:val="22"/>
                <w:szCs w:val="22"/>
              </w:rPr>
              <w:t xml:space="preserve">(объем талии/бедер до 120 см) с полным влагопоглощением не менее 1800 гр. </w:t>
            </w:r>
          </w:p>
          <w:p w:rsidR="00B069C7" w:rsidRPr="003272A4" w:rsidRDefault="00B069C7" w:rsidP="004250AE">
            <w:pPr>
              <w:suppressAutoHyphens/>
              <w:ind w:left="-79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272A4">
              <w:rPr>
                <w:sz w:val="22"/>
                <w:szCs w:val="22"/>
              </w:rPr>
              <w:t>Полное влагопоглощение не менее 1800 грамм, обратная сорбция не более 4,4 грамм, скорость впитывания не менее 2,3 см куб. в секунду.</w:t>
            </w:r>
          </w:p>
        </w:tc>
        <w:tc>
          <w:tcPr>
            <w:tcW w:w="992" w:type="dxa"/>
            <w:vAlign w:val="center"/>
          </w:tcPr>
          <w:p w:rsidR="00B069C7" w:rsidRPr="003272A4" w:rsidRDefault="00B069C7" w:rsidP="004250AE">
            <w:pPr>
              <w:tabs>
                <w:tab w:val="left" w:pos="776"/>
              </w:tabs>
              <w:snapToGrid w:val="0"/>
              <w:spacing w:line="300" w:lineRule="auto"/>
              <w:ind w:left="-79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22 800</w:t>
            </w:r>
          </w:p>
        </w:tc>
      </w:tr>
      <w:tr w:rsidR="00B069C7" w:rsidRPr="003272A4" w:rsidTr="00B069C7">
        <w:trPr>
          <w:cantSplit/>
          <w:trHeight w:hRule="exact" w:val="570"/>
        </w:trPr>
        <w:tc>
          <w:tcPr>
            <w:tcW w:w="1701" w:type="dxa"/>
            <w:vMerge/>
          </w:tcPr>
          <w:p w:rsidR="00B069C7" w:rsidRPr="003272A4" w:rsidRDefault="00B069C7" w:rsidP="004250AE">
            <w:pPr>
              <w:suppressAutoHyphens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vMerge w:val="restart"/>
            <w:vAlign w:val="center"/>
          </w:tcPr>
          <w:p w:rsidR="00B069C7" w:rsidRPr="003272A4" w:rsidRDefault="00B069C7" w:rsidP="004250AE">
            <w:pPr>
              <w:ind w:left="-79"/>
              <w:jc w:val="both"/>
              <w:rPr>
                <w:b/>
                <w:sz w:val="22"/>
                <w:szCs w:val="22"/>
              </w:rPr>
            </w:pPr>
            <w:r w:rsidRPr="003272A4">
              <w:rPr>
                <w:b/>
                <w:sz w:val="22"/>
                <w:szCs w:val="22"/>
              </w:rPr>
              <w:t>Подгузники для взрослых, размер "L"</w:t>
            </w:r>
          </w:p>
          <w:p w:rsidR="00B069C7" w:rsidRPr="003272A4" w:rsidRDefault="00B069C7" w:rsidP="004250AE">
            <w:pPr>
              <w:ind w:left="-79"/>
              <w:jc w:val="both"/>
              <w:rPr>
                <w:color w:val="000000"/>
                <w:sz w:val="22"/>
                <w:szCs w:val="22"/>
              </w:rPr>
            </w:pPr>
            <w:r w:rsidRPr="003272A4">
              <w:rPr>
                <w:color w:val="000000"/>
                <w:sz w:val="22"/>
                <w:szCs w:val="22"/>
              </w:rPr>
              <w:t>(объем талии/бедер до 150 см) с полным влагопоглощением не менее 2000 гр.</w:t>
            </w:r>
          </w:p>
          <w:p w:rsidR="00B069C7" w:rsidRPr="003272A4" w:rsidRDefault="00B069C7" w:rsidP="004250AE">
            <w:pPr>
              <w:suppressAutoHyphens/>
              <w:ind w:left="-79"/>
              <w:jc w:val="both"/>
              <w:rPr>
                <w:sz w:val="22"/>
                <w:szCs w:val="22"/>
                <w:lang w:eastAsia="ar-SA"/>
              </w:rPr>
            </w:pPr>
            <w:r w:rsidRPr="003272A4">
              <w:rPr>
                <w:sz w:val="22"/>
                <w:szCs w:val="22"/>
              </w:rPr>
              <w:t>Полное влагопоглощение не менее 2000 грамм, обратная сорбция не более 4,4 грамм, скорость впитывания не менее 2,3 см куб. в секунду.</w:t>
            </w:r>
          </w:p>
        </w:tc>
        <w:tc>
          <w:tcPr>
            <w:tcW w:w="992" w:type="dxa"/>
            <w:vMerge w:val="restart"/>
            <w:vAlign w:val="center"/>
          </w:tcPr>
          <w:p w:rsidR="00B069C7" w:rsidRPr="003272A4" w:rsidRDefault="00B069C7" w:rsidP="004250AE">
            <w:pPr>
              <w:tabs>
                <w:tab w:val="left" w:pos="776"/>
              </w:tabs>
              <w:snapToGrid w:val="0"/>
              <w:spacing w:line="300" w:lineRule="auto"/>
              <w:ind w:left="-79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15 300</w:t>
            </w:r>
          </w:p>
        </w:tc>
      </w:tr>
      <w:tr w:rsidR="00B069C7" w:rsidRPr="003272A4" w:rsidTr="00B069C7">
        <w:trPr>
          <w:cantSplit/>
          <w:trHeight w:val="475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069C7" w:rsidRPr="003272A4" w:rsidRDefault="00B069C7" w:rsidP="004250AE">
            <w:pPr>
              <w:suppressAutoHyphens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B069C7" w:rsidRPr="003272A4" w:rsidRDefault="00B069C7" w:rsidP="004250AE">
            <w:pPr>
              <w:suppressAutoHyphens/>
              <w:ind w:left="-79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069C7" w:rsidRPr="003272A4" w:rsidRDefault="00B069C7" w:rsidP="004250AE">
            <w:pPr>
              <w:tabs>
                <w:tab w:val="left" w:pos="776"/>
              </w:tabs>
              <w:suppressAutoHyphens/>
              <w:ind w:left="-7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069C7" w:rsidRPr="003272A4" w:rsidTr="00B069C7">
        <w:trPr>
          <w:cantSplit/>
          <w:trHeight w:val="106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69C7" w:rsidRPr="003272A4" w:rsidRDefault="00B069C7" w:rsidP="004250AE">
            <w:pPr>
              <w:suppressAutoHyphens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B069C7" w:rsidRPr="003272A4" w:rsidRDefault="00B069C7" w:rsidP="004250AE">
            <w:pPr>
              <w:ind w:left="-79"/>
              <w:jc w:val="both"/>
              <w:rPr>
                <w:b/>
                <w:sz w:val="22"/>
                <w:szCs w:val="22"/>
              </w:rPr>
            </w:pPr>
            <w:r w:rsidRPr="003272A4">
              <w:rPr>
                <w:b/>
                <w:sz w:val="22"/>
                <w:szCs w:val="22"/>
              </w:rPr>
              <w:t xml:space="preserve">Подгузники для взрослых, размер "XL" </w:t>
            </w:r>
          </w:p>
          <w:p w:rsidR="00B069C7" w:rsidRPr="003272A4" w:rsidRDefault="00B069C7" w:rsidP="004250AE">
            <w:pPr>
              <w:ind w:left="-79"/>
              <w:jc w:val="both"/>
              <w:rPr>
                <w:color w:val="000000"/>
                <w:sz w:val="22"/>
                <w:szCs w:val="22"/>
              </w:rPr>
            </w:pPr>
            <w:r w:rsidRPr="003272A4">
              <w:rPr>
                <w:color w:val="000000"/>
                <w:sz w:val="22"/>
                <w:szCs w:val="22"/>
              </w:rPr>
              <w:t xml:space="preserve">(объем талии/бедер до 175 см) с полным влагопоглощением не менее 1450 гр.  </w:t>
            </w:r>
          </w:p>
          <w:p w:rsidR="00B069C7" w:rsidRPr="003272A4" w:rsidRDefault="00B069C7" w:rsidP="004250AE">
            <w:pPr>
              <w:suppressAutoHyphens/>
              <w:ind w:left="-79"/>
              <w:jc w:val="both"/>
              <w:rPr>
                <w:sz w:val="22"/>
                <w:szCs w:val="22"/>
                <w:lang w:eastAsia="ar-SA"/>
              </w:rPr>
            </w:pPr>
            <w:r w:rsidRPr="003272A4">
              <w:rPr>
                <w:sz w:val="22"/>
                <w:szCs w:val="22"/>
              </w:rPr>
              <w:t>Полное влагопоглощение не менее 1450 грамм, обратная сорбция не более 4,4 грамм, скорость впитывания не менее 2,3 см куб. в секунду.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69C7" w:rsidRPr="003272A4" w:rsidRDefault="00B069C7" w:rsidP="004250AE">
            <w:pPr>
              <w:tabs>
                <w:tab w:val="left" w:pos="776"/>
              </w:tabs>
              <w:snapToGrid w:val="0"/>
              <w:ind w:left="-79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2 400</w:t>
            </w:r>
          </w:p>
        </w:tc>
      </w:tr>
      <w:tr w:rsidR="00B069C7" w:rsidRPr="003272A4" w:rsidTr="00B069C7">
        <w:trPr>
          <w:cantSplit/>
          <w:trHeight w:val="35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69C7" w:rsidRPr="003272A4" w:rsidRDefault="00B069C7" w:rsidP="004250AE">
            <w:pPr>
              <w:suppressAutoHyphens/>
              <w:ind w:left="-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069C7" w:rsidRPr="003272A4" w:rsidRDefault="00B069C7" w:rsidP="004250AE">
            <w:pPr>
              <w:suppressAutoHyphens/>
              <w:ind w:left="-79"/>
              <w:jc w:val="right"/>
              <w:rPr>
                <w:b/>
                <w:sz w:val="22"/>
                <w:szCs w:val="22"/>
                <w:lang w:eastAsia="ar-SA"/>
              </w:rPr>
            </w:pPr>
            <w:r w:rsidRPr="003272A4">
              <w:rPr>
                <w:b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69C7" w:rsidRPr="003272A4" w:rsidRDefault="00B069C7" w:rsidP="004250AE">
            <w:pPr>
              <w:tabs>
                <w:tab w:val="left" w:pos="776"/>
              </w:tabs>
              <w:suppressAutoHyphens/>
              <w:ind w:left="-79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50 400</w:t>
            </w:r>
          </w:p>
        </w:tc>
      </w:tr>
    </w:tbl>
    <w:p w:rsidR="00B069C7" w:rsidRPr="00B069C7" w:rsidRDefault="00B069C7" w:rsidP="00B069C7">
      <w:pPr>
        <w:spacing w:line="200" w:lineRule="atLeast"/>
        <w:ind w:left="-709" w:right="-284" w:firstLine="567"/>
        <w:rPr>
          <w:b/>
          <w:bCs/>
          <w:color w:val="000000"/>
          <w:sz w:val="22"/>
          <w:szCs w:val="22"/>
        </w:rPr>
      </w:pPr>
      <w:r w:rsidRPr="00B069C7">
        <w:rPr>
          <w:b/>
          <w:bCs/>
          <w:color w:val="000000"/>
          <w:sz w:val="22"/>
          <w:szCs w:val="22"/>
        </w:rPr>
        <w:t>Требования к качеству и безопасности подгузников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Поставляемые ТСР должны быть новыми (не бывшими в употреблении), свободными от прав третьих лиц, надлежащего качества, изготовлены в соответствии с документами, определяющими их качественные характеристики.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Подгузники должны соответствовать требованиям стандартов ГОСТ Р 52770-2016 «Изделия медицинские. Требования безопасности. Методы санитарно-химических и токсикологических испытаний», ГОСТ Р 55082-2012 «Изделия бумажные медицинского назначения. Подгузники для взрослых. Общие технические условия.», ГОСТ Р 51632-2014 «Технические средства реабилитации людей с ограничениями жизнедеятельности. Общие технические требования и методы испытаний», Приказу Министерства труда и социальной защиты РФ от 05.03.2021 г. № 107н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069C7" w:rsidRPr="00B069C7" w:rsidRDefault="00B069C7" w:rsidP="00B069C7">
      <w:pPr>
        <w:spacing w:line="100" w:lineRule="atLeast"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При использовании подгузников по назначению не должно создаваться угрозы для жизни и здоровья потребителя, окружающей среды, а также использование подгузников по назначению не должно причинять вред имуществу потребителя при его эксплуатации.</w:t>
      </w:r>
    </w:p>
    <w:p w:rsidR="00B069C7" w:rsidRPr="00B069C7" w:rsidRDefault="00B069C7" w:rsidP="00B069C7">
      <w:pPr>
        <w:spacing w:line="100" w:lineRule="atLeast"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Материалы, применяемые для изготовления подгузников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B069C7" w:rsidRPr="00B069C7" w:rsidRDefault="00B069C7" w:rsidP="00B069C7">
      <w:pPr>
        <w:keepNext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Поставка товаров осуществляется при наличии документов, подтверждающих соответствие товара (регистрационное удостоверение, свидетельство о государственной регистрации,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B069C7" w:rsidRPr="00B069C7" w:rsidRDefault="00B069C7" w:rsidP="00B069C7">
      <w:pPr>
        <w:spacing w:line="200" w:lineRule="atLeast"/>
        <w:ind w:left="-709" w:right="-284" w:firstLine="567"/>
        <w:rPr>
          <w:b/>
          <w:bCs/>
          <w:color w:val="000000"/>
          <w:sz w:val="22"/>
          <w:szCs w:val="22"/>
        </w:rPr>
      </w:pPr>
      <w:r w:rsidRPr="00B069C7">
        <w:rPr>
          <w:b/>
          <w:bCs/>
          <w:color w:val="000000"/>
          <w:sz w:val="22"/>
          <w:szCs w:val="22"/>
        </w:rPr>
        <w:t>Требования к упаковке, маркировке и хранению Товара.</w:t>
      </w:r>
    </w:p>
    <w:p w:rsidR="00B069C7" w:rsidRPr="00B069C7" w:rsidRDefault="00B069C7" w:rsidP="00B069C7">
      <w:pPr>
        <w:ind w:left="-709" w:right="-284" w:firstLine="567"/>
        <w:jc w:val="both"/>
        <w:rPr>
          <w:color w:val="000000"/>
          <w:sz w:val="22"/>
          <w:szCs w:val="22"/>
        </w:rPr>
      </w:pPr>
      <w:r w:rsidRPr="00B069C7">
        <w:rPr>
          <w:color w:val="000000"/>
          <w:sz w:val="22"/>
          <w:szCs w:val="22"/>
        </w:rPr>
        <w:t>Подгузники по несколько штук упаковывают в пакеты из полимерной пленки или пачки в соответствии с ГОСТ 33781-2016 «Упаковка потребительская из картона, бумаги и комбинированных материалов». Общие технические условия»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  <w:r w:rsidRPr="00B069C7">
        <w:rPr>
          <w:color w:val="000000"/>
          <w:sz w:val="22"/>
          <w:szCs w:val="22"/>
        </w:rPr>
        <w:br/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Не допускается механическое повреждение упаковки, открывающее доступ к поверхности подгузника.</w:t>
      </w:r>
    </w:p>
    <w:p w:rsidR="00B069C7" w:rsidRPr="00B069C7" w:rsidRDefault="00B069C7" w:rsidP="00B069C7">
      <w:pPr>
        <w:spacing w:line="200" w:lineRule="atLeast"/>
        <w:ind w:left="-709" w:right="-284" w:firstLine="567"/>
        <w:jc w:val="both"/>
        <w:rPr>
          <w:color w:val="000000"/>
          <w:sz w:val="22"/>
          <w:szCs w:val="22"/>
        </w:rPr>
      </w:pPr>
      <w:r w:rsidRPr="00B069C7">
        <w:rPr>
          <w:color w:val="000000"/>
          <w:sz w:val="22"/>
          <w:szCs w:val="22"/>
        </w:rPr>
        <w:lastRenderedPageBreak/>
        <w:t>Транспортирование подгузников должно осуществляться по ГОСТ 6658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B069C7" w:rsidRPr="00B069C7" w:rsidRDefault="00B069C7" w:rsidP="00B069C7">
      <w:pPr>
        <w:spacing w:line="200" w:lineRule="atLeast"/>
        <w:ind w:left="-709" w:right="-284" w:firstLine="567"/>
        <w:jc w:val="both"/>
        <w:rPr>
          <w:color w:val="000000"/>
          <w:sz w:val="22"/>
          <w:szCs w:val="22"/>
        </w:rPr>
      </w:pPr>
      <w:r w:rsidRPr="00B069C7">
        <w:rPr>
          <w:color w:val="000000"/>
          <w:sz w:val="22"/>
          <w:szCs w:val="22"/>
        </w:rPr>
        <w:t>Маркировка должна быть достоверной, проверяемой и читаемой. Маркировку должна быть нанесена на упаковку или на этикетку (ярлык), прикрепленную к упаковке.</w:t>
      </w:r>
    </w:p>
    <w:p w:rsidR="00B069C7" w:rsidRPr="00B069C7" w:rsidRDefault="00B069C7" w:rsidP="00B069C7">
      <w:pPr>
        <w:spacing w:line="200" w:lineRule="atLeast"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Маркировка подгузников установлена в техническом регламенте Таможенного союза ТР ТС 007/2011 «О безопасности продукции, предназначенной для детей и подростков» (ст.9).</w:t>
      </w:r>
    </w:p>
    <w:p w:rsidR="00B069C7" w:rsidRPr="00B069C7" w:rsidRDefault="00B069C7" w:rsidP="00B069C7">
      <w:pPr>
        <w:spacing w:line="200" w:lineRule="atLeast"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 xml:space="preserve">Маркировка также должна содержать следующую информацию о подгузниках </w:t>
      </w:r>
      <w:r w:rsidRPr="00B069C7">
        <w:rPr>
          <w:color w:val="000000"/>
          <w:sz w:val="22"/>
          <w:szCs w:val="22"/>
        </w:rPr>
        <w:t xml:space="preserve">(п.5.12.1 </w:t>
      </w:r>
      <w:r w:rsidRPr="00B069C7">
        <w:rPr>
          <w:sz w:val="22"/>
          <w:szCs w:val="22"/>
        </w:rPr>
        <w:t>ГОСТ Р 52557-2011 «Подгузники детские бумажные. Общие технические условия»</w:t>
      </w:r>
      <w:r w:rsidRPr="00B069C7">
        <w:rPr>
          <w:color w:val="000000"/>
          <w:sz w:val="22"/>
          <w:szCs w:val="22"/>
        </w:rPr>
        <w:t>):</w:t>
      </w:r>
    </w:p>
    <w:p w:rsidR="00B069C7" w:rsidRPr="00B069C7" w:rsidRDefault="00B069C7" w:rsidP="00B069C7">
      <w:pPr>
        <w:spacing w:line="200" w:lineRule="atLeast"/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вид (вариант) технического исполнения подгузника;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номер артикула (при наличии);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количество подгузников в упаковке;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дата (месяц, год) изготовления;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штриховой код изделия (при наличии);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срок годности, устанавливаемый изготовителем;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sz w:val="22"/>
          <w:szCs w:val="22"/>
        </w:rPr>
        <w:t>- указания по утилизации подгузника: слова "Не бросать в канализацию" и(или) рисунок, понятно отображающий эти указания.</w:t>
      </w:r>
    </w:p>
    <w:p w:rsidR="00B069C7" w:rsidRPr="00B069C7" w:rsidRDefault="00B069C7" w:rsidP="00B069C7">
      <w:pPr>
        <w:suppressAutoHyphens/>
        <w:ind w:left="-709" w:right="-284" w:firstLine="567"/>
        <w:jc w:val="both"/>
        <w:rPr>
          <w:color w:val="000000"/>
          <w:sz w:val="22"/>
          <w:szCs w:val="22"/>
          <w:lang w:eastAsia="ar-SA"/>
        </w:rPr>
      </w:pPr>
      <w:r w:rsidRPr="00B069C7">
        <w:rPr>
          <w:color w:val="000000"/>
          <w:sz w:val="22"/>
          <w:szCs w:val="22"/>
          <w:lang w:eastAsia="ar-SA"/>
        </w:rPr>
        <w:t>Сроки гарантии - данные средства являются одноразовой продукцией, в связи с чем, срок предоставления гарантии качества подгузников не устанавливается, но указан срок годности продукции и условия хранения.</w:t>
      </w:r>
    </w:p>
    <w:p w:rsidR="00B069C7" w:rsidRPr="00B069C7" w:rsidRDefault="00B069C7" w:rsidP="00B069C7">
      <w:pPr>
        <w:ind w:left="-709" w:right="-284" w:firstLine="567"/>
        <w:jc w:val="both"/>
        <w:rPr>
          <w:color w:val="000000"/>
          <w:sz w:val="22"/>
          <w:szCs w:val="22"/>
        </w:rPr>
      </w:pPr>
      <w:r w:rsidRPr="00B069C7">
        <w:rPr>
          <w:color w:val="000000"/>
          <w:sz w:val="22"/>
          <w:szCs w:val="22"/>
          <w:lang w:eastAsia="ar-SA"/>
        </w:rPr>
        <w:t>Срок годности -  остаточный срок годности продукции на момент поставки должен быть не менее 70% от срока, установленного производителем</w:t>
      </w:r>
      <w:r w:rsidRPr="00B069C7">
        <w:rPr>
          <w:sz w:val="22"/>
          <w:szCs w:val="22"/>
        </w:rPr>
        <w:t>.</w:t>
      </w:r>
    </w:p>
    <w:p w:rsidR="00B069C7" w:rsidRPr="00B069C7" w:rsidRDefault="00B069C7" w:rsidP="00B069C7">
      <w:pPr>
        <w:suppressAutoHyphens/>
        <w:ind w:left="-709" w:right="-284" w:firstLine="567"/>
        <w:textAlignment w:val="baseline"/>
        <w:rPr>
          <w:rFonts w:eastAsia="Lucida Sans Unicode"/>
          <w:b/>
          <w:bCs/>
          <w:kern w:val="3"/>
          <w:sz w:val="22"/>
          <w:szCs w:val="22"/>
        </w:rPr>
      </w:pPr>
      <w:r w:rsidRPr="00B069C7">
        <w:rPr>
          <w:rFonts w:eastAsia="Lucida Sans Unicode"/>
          <w:b/>
          <w:bCs/>
          <w:kern w:val="3"/>
          <w:sz w:val="22"/>
          <w:szCs w:val="22"/>
        </w:rPr>
        <w:t>Требования к месту, условиям и срокам (периодам) поставки Товара.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b/>
          <w:sz w:val="22"/>
          <w:szCs w:val="22"/>
          <w:u w:val="single"/>
        </w:rPr>
        <w:t>Место поставки товара:</w:t>
      </w:r>
      <w:r w:rsidRPr="00B069C7">
        <w:rPr>
          <w:b/>
          <w:sz w:val="22"/>
          <w:szCs w:val="22"/>
        </w:rPr>
        <w:t xml:space="preserve"> </w:t>
      </w:r>
      <w:r w:rsidRPr="00B069C7">
        <w:rPr>
          <w:rFonts w:eastAsia="Arial Unicode MS"/>
          <w:bCs/>
          <w:sz w:val="22"/>
          <w:szCs w:val="22"/>
        </w:rPr>
        <w:t xml:space="preserve">РФ, г. Магадан и Магаданская область, с доставкой по месту жительства Получателя, в </w:t>
      </w:r>
      <w:proofErr w:type="spellStart"/>
      <w:r w:rsidRPr="00B069C7">
        <w:rPr>
          <w:rFonts w:eastAsia="Arial Unicode MS"/>
          <w:bCs/>
          <w:sz w:val="22"/>
          <w:szCs w:val="22"/>
        </w:rPr>
        <w:t>т.ч</w:t>
      </w:r>
      <w:proofErr w:type="spellEnd"/>
      <w:r w:rsidRPr="00B069C7">
        <w:rPr>
          <w:rFonts w:eastAsia="Arial Unicode MS"/>
          <w:bCs/>
          <w:sz w:val="22"/>
          <w:szCs w:val="22"/>
        </w:rPr>
        <w:t>. доставка почтой и в пунктах выдачи, организованных в г. Магадане.</w:t>
      </w:r>
    </w:p>
    <w:p w:rsidR="00B069C7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b/>
          <w:sz w:val="22"/>
          <w:szCs w:val="22"/>
          <w:u w:val="single"/>
        </w:rPr>
        <w:t>Порядок поставки товара:</w:t>
      </w:r>
      <w:r w:rsidRPr="00B069C7">
        <w:rPr>
          <w:sz w:val="22"/>
          <w:szCs w:val="22"/>
        </w:rPr>
        <w:t xml:space="preserve"> право выбора способа получения Товара предоставляется Получателю (-ям): поставка Товара может быть осуществлена по месту жительства Получателя в пределах Магаданской области в течение 30 (тридцать) дней с даты обращения Получателя (их Представителей), при представлении паспорта, документа, удостоверяющего полномочия Представителя и Направления, выдаваемого Заказчиком либо с даты получения письменной заявки (направленной посредством почтовой связи, либо факсимильной связи, либо по электронной почте по выбору Заказчика) на поставку Товара Получателю (-ям) от Заказчика, либо по месту нахождения пунктов выдачи Товара в пределах г. Магадан, </w:t>
      </w:r>
      <w:r w:rsidRPr="00B069C7">
        <w:rPr>
          <w:color w:val="000000"/>
          <w:sz w:val="22"/>
          <w:szCs w:val="22"/>
        </w:rPr>
        <w:t>либо почтовое отправление.</w:t>
      </w:r>
    </w:p>
    <w:p w:rsidR="00EA0DB8" w:rsidRPr="00B069C7" w:rsidRDefault="00B069C7" w:rsidP="00B069C7">
      <w:pPr>
        <w:ind w:left="-709" w:right="-284" w:firstLine="567"/>
        <w:jc w:val="both"/>
        <w:rPr>
          <w:sz w:val="22"/>
          <w:szCs w:val="22"/>
        </w:rPr>
      </w:pPr>
      <w:r w:rsidRPr="00B069C7">
        <w:rPr>
          <w:b/>
          <w:sz w:val="22"/>
          <w:szCs w:val="22"/>
          <w:u w:val="single"/>
        </w:rPr>
        <w:t>Срок поставки Товара</w:t>
      </w:r>
      <w:r w:rsidRPr="00B069C7">
        <w:rPr>
          <w:sz w:val="22"/>
          <w:szCs w:val="22"/>
        </w:rPr>
        <w:t xml:space="preserve"> – с момента заключения государственного контракта и по</w:t>
      </w:r>
      <w:bookmarkStart w:id="0" w:name="_GoBack"/>
      <w:bookmarkEnd w:id="0"/>
      <w:r w:rsidRPr="00B069C7">
        <w:rPr>
          <w:sz w:val="22"/>
          <w:szCs w:val="22"/>
        </w:rPr>
        <w:t xml:space="preserve"> 15 октября 2021 года.</w:t>
      </w:r>
    </w:p>
    <w:sectPr w:rsidR="00EA0DB8" w:rsidRPr="00B0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C7"/>
    <w:rsid w:val="00B069C7"/>
    <w:rsid w:val="00E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D345-7C38-4255-884F-8C91EC78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 Знак Знак Знак Знак Знак Знак Знак Знак Знак"/>
    <w:basedOn w:val="a"/>
    <w:rsid w:val="00B069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 Сергей Анатольевич</dc:creator>
  <cp:keywords/>
  <dc:description/>
  <cp:lastModifiedBy>Грехов Сергей Анатольевич</cp:lastModifiedBy>
  <cp:revision>1</cp:revision>
  <dcterms:created xsi:type="dcterms:W3CDTF">2021-06-01T23:02:00Z</dcterms:created>
  <dcterms:modified xsi:type="dcterms:W3CDTF">2021-06-01T23:03:00Z</dcterms:modified>
</cp:coreProperties>
</file>