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D2" w:rsidRDefault="009C26D2" w:rsidP="00A0117B">
      <w:pPr>
        <w:pStyle w:val="Standard"/>
        <w:jc w:val="right"/>
        <w:rPr>
          <w:b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A0117B">
        <w:rPr>
          <w:sz w:val="22"/>
          <w:szCs w:val="22"/>
        </w:rPr>
        <w:t xml:space="preserve">                               </w:t>
      </w:r>
    </w:p>
    <w:p w:rsidR="009C26D2" w:rsidRDefault="009C26D2" w:rsidP="00A0117B">
      <w:pPr>
        <w:pStyle w:val="Standard"/>
        <w:jc w:val="center"/>
      </w:pPr>
      <w:r>
        <w:rPr>
          <w:b/>
        </w:rPr>
        <w:t xml:space="preserve">ТЕХНИЧЕСКОЕ ЗАДАНИЕ </w:t>
      </w:r>
      <w:bookmarkStart w:id="0" w:name="_GoBack"/>
      <w:bookmarkEnd w:id="0"/>
    </w:p>
    <w:p w:rsidR="009C26D2" w:rsidRDefault="009C26D2" w:rsidP="009C26D2">
      <w:pPr>
        <w:pStyle w:val="Standard"/>
        <w:jc w:val="center"/>
      </w:pPr>
      <w:r w:rsidRPr="00544F22">
        <w:rPr>
          <w:color w:val="000000"/>
        </w:rPr>
        <w:t xml:space="preserve">к </w:t>
      </w:r>
      <w:r w:rsidRPr="00544F22">
        <w:t>аукциону в электронной форме на оказание в 202</w:t>
      </w:r>
      <w:r>
        <w:t>1 году</w:t>
      </w:r>
      <w:r w:rsidRPr="00544F22">
        <w:t xml:space="preserve"> услуг по санаторно-курортному лечению граждан, имеющих право на получение государственной социальной помощи в виде набора социальных услуг </w:t>
      </w:r>
      <w:r>
        <w:t xml:space="preserve">- </w:t>
      </w:r>
      <w:r w:rsidRPr="003D379B">
        <w:t>детей-инвалидов с болезнями системы кровообращения, органов пищеварения, эндокринной системы, расстройствами питания и нарушениями обмена веществ и сопровождающих лиц.</w:t>
      </w:r>
    </w:p>
    <w:p w:rsidR="00D1117E" w:rsidRDefault="00D1117E" w:rsidP="00D1117E">
      <w:pPr>
        <w:pStyle w:val="Standard"/>
        <w:ind w:firstLine="708"/>
        <w:jc w:val="center"/>
        <w:rPr>
          <w:b/>
          <w:color w:val="000000"/>
        </w:rPr>
      </w:pPr>
      <w:r w:rsidRPr="00D1117E">
        <w:rPr>
          <w:b/>
          <w:color w:val="000000"/>
        </w:rPr>
        <w:t>ИКЗ: 2117325019720732501001001301</w:t>
      </w:r>
      <w:r>
        <w:rPr>
          <w:b/>
          <w:color w:val="000000"/>
        </w:rPr>
        <w:t>7</w:t>
      </w:r>
      <w:r w:rsidRPr="00D1117E">
        <w:rPr>
          <w:b/>
          <w:color w:val="000000"/>
        </w:rPr>
        <w:t>8690323</w:t>
      </w:r>
    </w:p>
    <w:p w:rsidR="00A0117B" w:rsidRPr="00D1117E" w:rsidRDefault="00A0117B" w:rsidP="00D1117E">
      <w:pPr>
        <w:pStyle w:val="Standard"/>
        <w:ind w:firstLine="708"/>
        <w:jc w:val="center"/>
        <w:rPr>
          <w:b/>
          <w:color w:val="000000"/>
        </w:rPr>
      </w:pPr>
    </w:p>
    <w:p w:rsidR="009C26D2" w:rsidRDefault="009C26D2" w:rsidP="009C26D2">
      <w:pPr>
        <w:pStyle w:val="Standard"/>
        <w:ind w:firstLine="708"/>
        <w:jc w:val="both"/>
      </w:pPr>
      <w:r>
        <w:rPr>
          <w:b/>
        </w:rPr>
        <w:t>1. Объект закупки</w:t>
      </w:r>
      <w:r>
        <w:t xml:space="preserve">: услуги по санаторно-курортному лечению (далее – услуги) </w:t>
      </w:r>
      <w:r w:rsidRPr="00544F22">
        <w:t xml:space="preserve">граждан, имеющих право на получение государственной социальной помощи в виде набора социальных услуг </w:t>
      </w:r>
      <w:r>
        <w:t xml:space="preserve">- </w:t>
      </w:r>
      <w:r w:rsidRPr="003D379B">
        <w:t>детей-инвалидов с болезнями системы кровообращения, органов пищеварения, эндокринной системы, расстройствами питания и нарушениями обме</w:t>
      </w:r>
      <w:r>
        <w:t>на веществ и сопровождающих лиц (далее – Получатели).</w:t>
      </w:r>
    </w:p>
    <w:p w:rsidR="009C26D2" w:rsidRDefault="009C26D2" w:rsidP="009C26D2">
      <w:pPr>
        <w:pStyle w:val="Standard"/>
        <w:ind w:firstLine="708"/>
        <w:jc w:val="both"/>
      </w:pPr>
      <w:r>
        <w:t>Основанием для оказания услуг является Федеральный закон от 17.07.1999 № 178 – ФЗ «О государственной социальной помощи».</w:t>
      </w:r>
    </w:p>
    <w:p w:rsidR="009C26D2" w:rsidRDefault="009C26D2" w:rsidP="009C26D2">
      <w:pPr>
        <w:pStyle w:val="Standard"/>
        <w:ind w:firstLine="708"/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>Объем оказываемых услуг: 840</w:t>
      </w:r>
      <w:r>
        <w:t xml:space="preserve"> койко-дней (что соответствует 40 путевкам).</w:t>
      </w:r>
    </w:p>
    <w:p w:rsidR="009C26D2" w:rsidRDefault="009C26D2" w:rsidP="009C26D2">
      <w:pPr>
        <w:pStyle w:val="Standard"/>
        <w:ind w:firstLine="708"/>
        <w:jc w:val="both"/>
      </w:pPr>
      <w:r>
        <w:rPr>
          <w:b/>
        </w:rPr>
        <w:t>3. Длительность санаторно-курортного лечения</w:t>
      </w:r>
      <w:r>
        <w:t xml:space="preserve"> – 21 койко-день по каждой путевке.</w:t>
      </w:r>
    </w:p>
    <w:p w:rsidR="009C26D2" w:rsidRPr="0001152F" w:rsidRDefault="009C26D2" w:rsidP="009C26D2">
      <w:pPr>
        <w:pStyle w:val="Standard"/>
        <w:ind w:firstLine="708"/>
        <w:jc w:val="both"/>
      </w:pPr>
      <w:r>
        <w:rPr>
          <w:b/>
        </w:rPr>
        <w:t>4. Срок оказания услуг:</w:t>
      </w:r>
      <w:r>
        <w:t xml:space="preserve"> июль-сентябрь</w:t>
      </w:r>
      <w:r w:rsidRPr="0001152F">
        <w:t xml:space="preserve"> 20</w:t>
      </w:r>
      <w:r>
        <w:t>21</w:t>
      </w:r>
      <w:r w:rsidRPr="0001152F">
        <w:t xml:space="preserve"> г. (начало последнего заезда не позднее </w:t>
      </w:r>
      <w:r>
        <w:t>1</w:t>
      </w:r>
      <w:r>
        <w:rPr>
          <w:bCs/>
        </w:rPr>
        <w:t xml:space="preserve"> сентября 2021 года</w:t>
      </w:r>
      <w:r w:rsidRPr="0001152F">
        <w:t>).</w:t>
      </w:r>
    </w:p>
    <w:p w:rsidR="009C26D2" w:rsidRDefault="009C26D2" w:rsidP="009C26D2">
      <w:pPr>
        <w:pStyle w:val="Standard"/>
        <w:ind w:firstLine="708"/>
        <w:jc w:val="both"/>
      </w:pPr>
      <w:r>
        <w:rPr>
          <w:b/>
        </w:rPr>
        <w:t>5. Начальная (максимальная) цена контракта (далее – НМЦК)</w:t>
      </w:r>
      <w:r>
        <w:t>: 1 132 404 рубля (максимальная цена путевки – 28 310,10 рублей).</w:t>
      </w:r>
    </w:p>
    <w:p w:rsidR="009C26D2" w:rsidRDefault="009C26D2" w:rsidP="009C26D2">
      <w:pPr>
        <w:pStyle w:val="Standard"/>
        <w:tabs>
          <w:tab w:val="left" w:pos="240"/>
          <w:tab w:val="left" w:pos="709"/>
        </w:tabs>
        <w:ind w:firstLine="600"/>
        <w:jc w:val="both"/>
      </w:pPr>
      <w:r>
        <w:t>Обоснование и расчет НМЦК указан в Приложении № 1 к Техническому заданию.</w:t>
      </w:r>
    </w:p>
    <w:p w:rsidR="009C26D2" w:rsidRDefault="009C26D2" w:rsidP="009C26D2">
      <w:pPr>
        <w:pStyle w:val="Standard"/>
        <w:tabs>
          <w:tab w:val="left" w:pos="240"/>
          <w:tab w:val="left" w:pos="709"/>
        </w:tabs>
        <w:ind w:firstLine="600"/>
        <w:jc w:val="both"/>
      </w:pPr>
      <w:r>
        <w:tab/>
      </w:r>
      <w:r>
        <w:rPr>
          <w:b/>
        </w:rPr>
        <w:t xml:space="preserve">6. Источник финансирования и оплата услуг: </w:t>
      </w:r>
      <w:r>
        <w:t>оплата услуг осуществляется за счет средств федерального бюджета Российской Федерации, выделенных Фонду социального страхования Российской Федерации в соответствии с действующим законодательством на 2021 год.</w:t>
      </w:r>
    </w:p>
    <w:p w:rsidR="009C26D2" w:rsidRDefault="009C26D2" w:rsidP="009C26D2">
      <w:pPr>
        <w:pStyle w:val="Standard"/>
        <w:tabs>
          <w:tab w:val="left" w:pos="240"/>
          <w:tab w:val="left" w:pos="709"/>
        </w:tabs>
        <w:ind w:firstLine="600"/>
        <w:jc w:val="both"/>
      </w:pPr>
      <w:r>
        <w:t>Оплата производится за фактически оказанные услуги по безналичному расчету путем перечисления денежных средств со счета Заказчика на счет Исполнителя в течение 15 (пятнадцати) рабочих дней с даты приемки оказанных услуг и получения Заказчиком надлежащим образом оформленных финансовых документов.</w:t>
      </w:r>
    </w:p>
    <w:p w:rsidR="009C26D2" w:rsidRDefault="009C26D2" w:rsidP="009C26D2">
      <w:pPr>
        <w:pStyle w:val="Standard"/>
        <w:tabs>
          <w:tab w:val="left" w:pos="240"/>
          <w:tab w:val="left" w:pos="709"/>
        </w:tabs>
        <w:ind w:firstLine="600"/>
        <w:jc w:val="both"/>
      </w:pPr>
      <w:r>
        <w:rPr>
          <w:b/>
        </w:rPr>
        <w:tab/>
        <w:t xml:space="preserve">7. Цена государственного контракта: </w:t>
      </w:r>
      <w:r>
        <w:t xml:space="preserve">формируется с учетом всех расходов Исполнителя по оказанию услуг (расходы на проживание, питание, лечение), которые Исполнитель должен нести в соответствии с условиями государственного контракта (далее – Контракт), а также расходы на перевозку, в </w:t>
      </w:r>
      <w:proofErr w:type="spellStart"/>
      <w:r>
        <w:t>т.ч</w:t>
      </w:r>
      <w:proofErr w:type="spellEnd"/>
      <w:r>
        <w:t>. перевозку путевок, перевозку застрахованных граждан по маршруту согласно п.13. технического задания, страхование, уплату таможенных пошлин, налогов, сборов и иных обязательных платежей.</w:t>
      </w:r>
    </w:p>
    <w:p w:rsidR="009C26D2" w:rsidRPr="0001152F" w:rsidRDefault="009C26D2" w:rsidP="009C26D2">
      <w:pPr>
        <w:pStyle w:val="Standard"/>
        <w:ind w:firstLine="708"/>
        <w:jc w:val="both"/>
      </w:pPr>
      <w:r w:rsidRPr="00544F22">
        <w:rPr>
          <w:b/>
        </w:rPr>
        <w:t>8. График оказания услуг:</w:t>
      </w:r>
      <w:r w:rsidRPr="00544F22">
        <w:t xml:space="preserve"> </w:t>
      </w:r>
      <w:r>
        <w:t>июль-сентябрь</w:t>
      </w:r>
      <w:r w:rsidRPr="0001152F">
        <w:t xml:space="preserve"> 20</w:t>
      </w:r>
      <w:r>
        <w:t>21</w:t>
      </w:r>
      <w:r w:rsidRPr="0001152F">
        <w:t xml:space="preserve"> г. (начало последнего заезда не позднее </w:t>
      </w:r>
      <w:r>
        <w:t>1</w:t>
      </w:r>
      <w:r>
        <w:rPr>
          <w:bCs/>
        </w:rPr>
        <w:t xml:space="preserve"> сентября 2021 года</w:t>
      </w:r>
      <w:r w:rsidRPr="0001152F">
        <w:t>).</w:t>
      </w:r>
    </w:p>
    <w:p w:rsidR="009C26D2" w:rsidRPr="00544F22" w:rsidRDefault="009C26D2" w:rsidP="009C26D2">
      <w:pPr>
        <w:pStyle w:val="Standard"/>
        <w:ind w:firstLine="708"/>
        <w:jc w:val="both"/>
      </w:pPr>
      <w:r w:rsidRPr="00544F22">
        <w:rPr>
          <w:bCs/>
        </w:rPr>
        <w:t>При этом объем услуг должен распределяться равномерно по всему периоду действия Контракта.</w:t>
      </w:r>
    </w:p>
    <w:p w:rsidR="009C26D2" w:rsidRPr="00544F22" w:rsidRDefault="009C26D2" w:rsidP="009C26D2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zh-CN"/>
        </w:rPr>
      </w:pPr>
      <w:r w:rsidRPr="00544F22">
        <w:rPr>
          <w:rFonts w:ascii="Times New Roman" w:eastAsia="Lucida Sans Unicode" w:hAnsi="Times New Roman" w:cs="Times New Roman"/>
          <w:bCs/>
          <w:sz w:val="24"/>
          <w:szCs w:val="24"/>
          <w:lang w:eastAsia="zh-CN"/>
        </w:rPr>
        <w:t xml:space="preserve">В случае наличия экономии койко-дней по </w:t>
      </w:r>
      <w:proofErr w:type="spellStart"/>
      <w:r w:rsidRPr="00544F22">
        <w:rPr>
          <w:rFonts w:ascii="Times New Roman" w:eastAsia="Lucida Sans Unicode" w:hAnsi="Times New Roman" w:cs="Times New Roman"/>
          <w:bCs/>
          <w:sz w:val="24"/>
          <w:szCs w:val="24"/>
          <w:lang w:eastAsia="zh-CN"/>
        </w:rPr>
        <w:t>недозаездам</w:t>
      </w:r>
      <w:proofErr w:type="spellEnd"/>
      <w:r w:rsidRPr="00544F22">
        <w:rPr>
          <w:rFonts w:ascii="Times New Roman" w:eastAsia="Lucida Sans Unicode" w:hAnsi="Times New Roman" w:cs="Times New Roman"/>
          <w:bCs/>
          <w:sz w:val="24"/>
          <w:szCs w:val="24"/>
          <w:lang w:eastAsia="zh-CN"/>
        </w:rPr>
        <w:t xml:space="preserve"> граждан объем оказываемых услуг должен приходиться на период: начало последнего заезда не позднее, чем с </w:t>
      </w:r>
      <w:r>
        <w:rPr>
          <w:rFonts w:ascii="Times New Roman" w:eastAsia="Lucida Sans Unicode" w:hAnsi="Times New Roman" w:cs="Times New Roman"/>
          <w:bCs/>
          <w:sz w:val="24"/>
          <w:szCs w:val="24"/>
          <w:lang w:eastAsia="zh-CN"/>
        </w:rPr>
        <w:t>01.09.2021</w:t>
      </w:r>
      <w:r w:rsidRPr="00544F22">
        <w:rPr>
          <w:rFonts w:ascii="Times New Roman" w:eastAsia="Lucida Sans Unicode" w:hAnsi="Times New Roman" w:cs="Times New Roman"/>
          <w:bCs/>
          <w:sz w:val="24"/>
          <w:szCs w:val="24"/>
          <w:lang w:eastAsia="zh-CN"/>
        </w:rPr>
        <w:t xml:space="preserve"> года.</w:t>
      </w:r>
    </w:p>
    <w:p w:rsidR="009C26D2" w:rsidRDefault="009C26D2" w:rsidP="009C26D2">
      <w:pPr>
        <w:pStyle w:val="Standard"/>
        <w:ind w:firstLine="708"/>
        <w:jc w:val="both"/>
      </w:pPr>
      <w:r>
        <w:rPr>
          <w:bCs/>
        </w:rPr>
        <w:t xml:space="preserve">В случае наличия экономии койко-дней по </w:t>
      </w:r>
      <w:proofErr w:type="spellStart"/>
      <w:r>
        <w:rPr>
          <w:bCs/>
        </w:rPr>
        <w:t>недозаездам</w:t>
      </w:r>
      <w:proofErr w:type="spellEnd"/>
      <w:r>
        <w:rPr>
          <w:bCs/>
        </w:rPr>
        <w:t xml:space="preserve"> граждан, на дату предоставления реестра лиц, имеющих право на получение государственной социальной помощи, получивших лечение, оплаченное из средств федерального бюджета в санаторно-курортном учреждении, по которым образуются свободные койко-дни в количестве кратном 21 (одна путевка),  Исполнитель в течение 5 (пяти) рабочих дней в соответствии с требованиями нормативно-правовых актов Российской Федерации  предоставляет Заказчику дополнительный бланк путевки и оказывает услуги санаторно-курортного </w:t>
      </w:r>
      <w:r>
        <w:rPr>
          <w:bCs/>
        </w:rPr>
        <w:lastRenderedPageBreak/>
        <w:t>лечения.</w:t>
      </w:r>
    </w:p>
    <w:p w:rsidR="009C26D2" w:rsidRDefault="009C26D2" w:rsidP="009C26D2">
      <w:pPr>
        <w:pStyle w:val="Standard"/>
        <w:ind w:firstLine="708"/>
        <w:jc w:val="both"/>
      </w:pPr>
      <w:r>
        <w:rPr>
          <w:b/>
        </w:rPr>
        <w:t>9.</w:t>
      </w:r>
      <w:r>
        <w:t xml:space="preserve"> Услуги предоставляются санаторно-курортным учреждением при предъявлении бланка путевки Получателями.</w:t>
      </w:r>
    </w:p>
    <w:p w:rsidR="009C26D2" w:rsidRPr="001C3282" w:rsidRDefault="009C26D2" w:rsidP="009C26D2">
      <w:pPr>
        <w:pStyle w:val="Standard"/>
        <w:tabs>
          <w:tab w:val="left" w:pos="709"/>
        </w:tabs>
        <w:jc w:val="both"/>
        <w:rPr>
          <w:bCs/>
        </w:rPr>
      </w:pPr>
      <w:r>
        <w:t xml:space="preserve"> </w:t>
      </w:r>
      <w:r>
        <w:tab/>
      </w:r>
      <w:r>
        <w:rPr>
          <w:b/>
        </w:rPr>
        <w:t>10. Место оказания услуг</w:t>
      </w:r>
      <w:r>
        <w:t xml:space="preserve">: </w:t>
      </w:r>
      <w:r w:rsidRPr="009D1175">
        <w:t xml:space="preserve">Российская Федерация, </w:t>
      </w:r>
      <w:r>
        <w:t>Ульяновская область.</w:t>
      </w:r>
    </w:p>
    <w:p w:rsidR="009C26D2" w:rsidRDefault="009C26D2" w:rsidP="009C26D2">
      <w:pPr>
        <w:pStyle w:val="Standard"/>
        <w:tabs>
          <w:tab w:val="left" w:pos="709"/>
        </w:tabs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  <w:t>11. Требования к качеству услуг:</w:t>
      </w:r>
    </w:p>
    <w:p w:rsidR="009C26D2" w:rsidRDefault="009C26D2" w:rsidP="009C26D2">
      <w:pPr>
        <w:pStyle w:val="Standard"/>
        <w:tabs>
          <w:tab w:val="left" w:pos="709"/>
        </w:tabs>
        <w:jc w:val="both"/>
      </w:pPr>
      <w:r>
        <w:t>Наличие лицензии на медицинскую деятельность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 xml:space="preserve">»)» при оказании медицинской помощи по санаторно-курортному лечению по: </w:t>
      </w:r>
      <w:r w:rsidRPr="001E06D7">
        <w:rPr>
          <w:bCs/>
          <w:color w:val="000000"/>
          <w:lang w:eastAsia="ru-RU"/>
        </w:rPr>
        <w:t xml:space="preserve">кардиологии, гастроэнтерологии, диетологии, эндокринологии, </w:t>
      </w:r>
      <w:r>
        <w:t>педиатрии, физиотерапии, терапии.</w:t>
      </w:r>
    </w:p>
    <w:p w:rsidR="009C26D2" w:rsidRPr="006E41B7" w:rsidRDefault="009C26D2" w:rsidP="009C26D2">
      <w:pPr>
        <w:pStyle w:val="western"/>
        <w:keepNext/>
        <w:spacing w:before="0" w:after="0"/>
        <w:ind w:firstLine="703"/>
        <w:jc w:val="both"/>
      </w:pPr>
      <w:r w:rsidRPr="006E41B7">
        <w:t xml:space="preserve"> Услуги по санаторно-курортному лечению должны быть выполнены и оказаны:</w:t>
      </w:r>
    </w:p>
    <w:p w:rsidR="009C26D2" w:rsidRPr="006E41B7" w:rsidRDefault="009C26D2" w:rsidP="009C26D2">
      <w:pPr>
        <w:pStyle w:val="Standard"/>
        <w:ind w:firstLine="709"/>
        <w:jc w:val="both"/>
      </w:pPr>
      <w:r w:rsidRPr="006E41B7">
        <w:t>- в соответствии с Приказом Министерства здравоохранения и социального развития Российской Федерации от 22.11.2004г. №256 «О порядке медицинского отбора и направления больных на санаторно-курортное лечение»;</w:t>
      </w:r>
    </w:p>
    <w:p w:rsidR="009C26D2" w:rsidRPr="006E41B7" w:rsidRDefault="009C26D2" w:rsidP="009C26D2">
      <w:pPr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6E41B7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- с надлежащим качеством и в объемах, определенных медико-экономическими стандартами санаторно-курортного лечения </w:t>
      </w:r>
      <w:r w:rsidRPr="006E41B7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>с болезнями системы кровообращения</w:t>
      </w:r>
      <w:r w:rsidRPr="006E41B7">
        <w:rPr>
          <w:rFonts w:ascii="Times New Roman" w:eastAsia="Lucida Sans Unicode" w:hAnsi="Times New Roman" w:cs="Times New Roman"/>
          <w:sz w:val="24"/>
          <w:szCs w:val="24"/>
          <w:lang w:eastAsia="zh-CN"/>
        </w:rPr>
        <w:t>, утвержденных:</w:t>
      </w:r>
    </w:p>
    <w:p w:rsidR="009C26D2" w:rsidRPr="006E41B7" w:rsidRDefault="009C26D2" w:rsidP="009C26D2">
      <w:pPr>
        <w:pStyle w:val="aa"/>
        <w:numPr>
          <w:ilvl w:val="0"/>
          <w:numId w:val="9"/>
        </w:numPr>
        <w:tabs>
          <w:tab w:val="left" w:pos="1134"/>
          <w:tab w:val="left" w:pos="3402"/>
        </w:tabs>
        <w:jc w:val="both"/>
        <w:textAlignment w:val="auto"/>
      </w:pPr>
      <w:r w:rsidRPr="006E41B7">
        <w:t>Приказом Министерства здравоохранения и социального развития Российской Федерации от 22.11.2004 № 211 «Об утверждении стандарта санаторно-курортной помощи больным с болезнями вен»,</w:t>
      </w:r>
    </w:p>
    <w:p w:rsidR="009C26D2" w:rsidRPr="006E41B7" w:rsidRDefault="009C26D2" w:rsidP="009C26D2">
      <w:pPr>
        <w:pStyle w:val="aa"/>
        <w:numPr>
          <w:ilvl w:val="0"/>
          <w:numId w:val="9"/>
        </w:numPr>
        <w:tabs>
          <w:tab w:val="left" w:pos="1134"/>
          <w:tab w:val="left" w:pos="3402"/>
        </w:tabs>
        <w:jc w:val="both"/>
        <w:textAlignment w:val="auto"/>
      </w:pPr>
      <w:r w:rsidRPr="006E41B7">
        <w:t xml:space="preserve">Приказом Министерства здравоохранения и социального развития Российской Федерации от 22.11.2004 № 221 «Об утверждении стандарта санаторно-курортной помощи больным с ишемической болезнью сердца: стенокардией, хронической ИБС», </w:t>
      </w:r>
    </w:p>
    <w:p w:rsidR="009C26D2" w:rsidRPr="006E41B7" w:rsidRDefault="009C26D2" w:rsidP="009C26D2">
      <w:pPr>
        <w:pStyle w:val="aa"/>
        <w:numPr>
          <w:ilvl w:val="0"/>
          <w:numId w:val="9"/>
        </w:numPr>
        <w:tabs>
          <w:tab w:val="left" w:pos="748"/>
          <w:tab w:val="left" w:pos="1134"/>
          <w:tab w:val="left" w:pos="3402"/>
        </w:tabs>
        <w:ind w:right="-1"/>
        <w:jc w:val="both"/>
        <w:textAlignment w:val="auto"/>
        <w:rPr>
          <w:bCs/>
        </w:rPr>
      </w:pPr>
      <w:r w:rsidRPr="006E41B7">
        <w:t xml:space="preserve">Приказом Министерства здравоохранения и социального развития Российской Федерации от 22.11.2004 № 222 «Об утверждении стандарта санаторно-курортной помощи больным с болезнями, характеризующимися повышенным кровяным давлением», </w:t>
      </w:r>
    </w:p>
    <w:p w:rsidR="009C26D2" w:rsidRPr="006E41B7" w:rsidRDefault="009C26D2" w:rsidP="009C26D2">
      <w:pPr>
        <w:pStyle w:val="aa"/>
        <w:numPr>
          <w:ilvl w:val="0"/>
          <w:numId w:val="9"/>
        </w:numPr>
        <w:tabs>
          <w:tab w:val="left" w:pos="748"/>
          <w:tab w:val="left" w:pos="1134"/>
          <w:tab w:val="left" w:pos="3402"/>
        </w:tabs>
        <w:ind w:right="-1"/>
        <w:jc w:val="both"/>
        <w:textAlignment w:val="auto"/>
        <w:rPr>
          <w:bCs/>
        </w:rPr>
      </w:pPr>
      <w:r w:rsidRPr="006E41B7">
        <w:t>Приказом Министерства здравоохранения и социального развития Российской Федерации от 23.11.2004 № 276 «Об утверждении стандарта санаторно-курортной помощи больным с цереброваскулярными болезнями»,</w:t>
      </w:r>
      <w:r w:rsidRPr="006E41B7">
        <w:rPr>
          <w:bCs/>
        </w:rPr>
        <w:tab/>
      </w:r>
    </w:p>
    <w:p w:rsidR="009C26D2" w:rsidRPr="006E41B7" w:rsidRDefault="009C26D2" w:rsidP="009C26D2">
      <w:pPr>
        <w:pStyle w:val="Standard"/>
        <w:ind w:firstLine="708"/>
        <w:jc w:val="both"/>
      </w:pPr>
      <w:r w:rsidRPr="006E41B7">
        <w:t xml:space="preserve">- с надлежащим качеством и в объемах, определенных медико-экономическими стандартами санаторно-курортного лечения с </w:t>
      </w:r>
      <w:r w:rsidRPr="006E41B7">
        <w:rPr>
          <w:b/>
          <w:bCs/>
        </w:rPr>
        <w:t>болезнями органов пищеварения</w:t>
      </w:r>
      <w:r w:rsidRPr="006E41B7">
        <w:t>, утвержденных:</w:t>
      </w:r>
    </w:p>
    <w:p w:rsidR="009C26D2" w:rsidRPr="006E41B7" w:rsidRDefault="009C26D2" w:rsidP="009C26D2">
      <w:pPr>
        <w:pStyle w:val="aa"/>
        <w:numPr>
          <w:ilvl w:val="0"/>
          <w:numId w:val="10"/>
        </w:numPr>
        <w:tabs>
          <w:tab w:val="left" w:pos="1276"/>
          <w:tab w:val="left" w:pos="4252"/>
        </w:tabs>
        <w:ind w:firstLine="709"/>
        <w:jc w:val="both"/>
        <w:textAlignment w:val="auto"/>
      </w:pPr>
      <w:r w:rsidRPr="006E41B7">
        <w:t>Приказом Министерства здравоохранения и социального развития Российской Федерации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железы»,</w:t>
      </w:r>
    </w:p>
    <w:p w:rsidR="009C26D2" w:rsidRPr="006E41B7" w:rsidRDefault="009C26D2" w:rsidP="009C26D2">
      <w:pPr>
        <w:pStyle w:val="aa"/>
        <w:numPr>
          <w:ilvl w:val="0"/>
          <w:numId w:val="11"/>
        </w:numPr>
        <w:tabs>
          <w:tab w:val="left" w:pos="1276"/>
          <w:tab w:val="left" w:pos="4252"/>
        </w:tabs>
        <w:ind w:left="708" w:firstLine="0"/>
        <w:jc w:val="both"/>
        <w:textAlignment w:val="auto"/>
      </w:pPr>
      <w:r w:rsidRPr="006E41B7">
        <w:t>Приказом Министерства здравоохранения и социального развития Российской Федерации от 23.11.2004 № 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9C26D2" w:rsidRPr="006E41B7" w:rsidRDefault="009C26D2" w:rsidP="009C26D2">
      <w:pPr>
        <w:pStyle w:val="Standard"/>
        <w:ind w:firstLine="708"/>
        <w:jc w:val="both"/>
      </w:pPr>
      <w:r w:rsidRPr="006E41B7">
        <w:t xml:space="preserve">- с надлежащим качеством и в объемах, определенных медико-экономическими стандартами санаторно-курортного лечения с </w:t>
      </w:r>
      <w:r w:rsidRPr="006E41B7">
        <w:rPr>
          <w:b/>
          <w:bCs/>
        </w:rPr>
        <w:t>болезнями эндокринной системы, расстройства питания и нарушения обмена веществ</w:t>
      </w:r>
      <w:r w:rsidRPr="006E41B7">
        <w:t>, утвержденных:</w:t>
      </w:r>
    </w:p>
    <w:p w:rsidR="009C26D2" w:rsidRPr="006E41B7" w:rsidRDefault="009C26D2" w:rsidP="009C26D2">
      <w:pPr>
        <w:pStyle w:val="aa"/>
        <w:numPr>
          <w:ilvl w:val="0"/>
          <w:numId w:val="11"/>
        </w:numPr>
        <w:tabs>
          <w:tab w:val="left" w:pos="1276"/>
          <w:tab w:val="left" w:pos="4252"/>
        </w:tabs>
        <w:ind w:left="708" w:firstLine="0"/>
        <w:jc w:val="both"/>
        <w:textAlignment w:val="auto"/>
      </w:pPr>
      <w:r w:rsidRPr="006E41B7">
        <w:t>Приказом Министерства здравоохранения и социального развития Российской Федерации от 22.11.2004 № 220 «Об утверждении стандарта санаторно-курортной помощи больным сахарным диабетом»,</w:t>
      </w:r>
    </w:p>
    <w:p w:rsidR="009C26D2" w:rsidRPr="006E41B7" w:rsidRDefault="009C26D2" w:rsidP="009C26D2">
      <w:pPr>
        <w:pStyle w:val="aa"/>
        <w:numPr>
          <w:ilvl w:val="0"/>
          <w:numId w:val="11"/>
        </w:numPr>
        <w:tabs>
          <w:tab w:val="left" w:pos="1276"/>
          <w:tab w:val="left" w:pos="4252"/>
        </w:tabs>
        <w:ind w:left="708" w:firstLine="0"/>
        <w:jc w:val="both"/>
        <w:textAlignment w:val="auto"/>
      </w:pPr>
      <w:r w:rsidRPr="006E41B7">
        <w:lastRenderedPageBreak/>
        <w:t xml:space="preserve">Приказом Министерства здравоохранения и социального развития Российской Федерации от 22.11.2004 № 223 «Об утверждении стандарта санаторно-курортной помощи больным с ожирением и другими видами избыточности питания, нарушения обмена липопротеинов и другими </w:t>
      </w:r>
      <w:proofErr w:type="spellStart"/>
      <w:r w:rsidRPr="006E41B7">
        <w:t>липидемиями</w:t>
      </w:r>
      <w:proofErr w:type="spellEnd"/>
      <w:r w:rsidRPr="006E41B7">
        <w:t>»,</w:t>
      </w:r>
    </w:p>
    <w:p w:rsidR="009C26D2" w:rsidRPr="006E41B7" w:rsidRDefault="009C26D2" w:rsidP="009C26D2">
      <w:pPr>
        <w:pStyle w:val="aa"/>
        <w:numPr>
          <w:ilvl w:val="0"/>
          <w:numId w:val="11"/>
        </w:numPr>
        <w:tabs>
          <w:tab w:val="left" w:pos="1276"/>
          <w:tab w:val="left" w:pos="4252"/>
        </w:tabs>
        <w:ind w:left="708" w:firstLine="0"/>
        <w:jc w:val="both"/>
        <w:textAlignment w:val="auto"/>
      </w:pPr>
      <w:r w:rsidRPr="006E41B7">
        <w:t>Приказом Министерства здравоохранения и социального развития Российской Федерации от 22.11.2004 № 224 «Об утверждении стандарта санаторно-курортной помощи больным с болезнями щитовидной железы»;</w:t>
      </w:r>
    </w:p>
    <w:p w:rsidR="009C26D2" w:rsidRDefault="009C26D2" w:rsidP="009C26D2">
      <w:pPr>
        <w:pStyle w:val="Standard"/>
        <w:tabs>
          <w:tab w:val="left" w:pos="709"/>
        </w:tabs>
        <w:jc w:val="both"/>
      </w:pPr>
      <w:r>
        <w:rPr>
          <w:bCs/>
          <w:color w:val="000000"/>
          <w:lang w:eastAsia="ru-RU"/>
        </w:rPr>
        <w:t xml:space="preserve">          </w:t>
      </w:r>
      <w:r>
        <w:rPr>
          <w:b/>
        </w:rPr>
        <w:t>12. Требования к техническим и функциональным характеристикам, безопасности услуг:</w:t>
      </w:r>
    </w:p>
    <w:p w:rsidR="009C26D2" w:rsidRPr="005F0ABD" w:rsidRDefault="009C26D2" w:rsidP="009C26D2">
      <w:pPr>
        <w:pStyle w:val="Standard"/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>12.1 Здания и сооружения организации, оказывающей санаторно-курортные услуги, должны быть:</w:t>
      </w:r>
    </w:p>
    <w:p w:rsidR="009C26D2" w:rsidRPr="005F0ABD" w:rsidRDefault="009C26D2" w:rsidP="009C26D2">
      <w:pPr>
        <w:pStyle w:val="Standard"/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9C26D2" w:rsidRPr="005F0ABD" w:rsidRDefault="009C26D2" w:rsidP="009C26D2">
      <w:pPr>
        <w:pStyle w:val="Standard"/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>- оборудованы системами холодного и горячего водоснабжения;</w:t>
      </w:r>
    </w:p>
    <w:p w:rsidR="009C26D2" w:rsidRPr="005F0ABD" w:rsidRDefault="009C26D2" w:rsidP="009C26D2">
      <w:pPr>
        <w:pStyle w:val="Standard"/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>- оборудованы системами для обеспечения пациентов питьевой водой круглосуточно;</w:t>
      </w:r>
    </w:p>
    <w:p w:rsidR="009C26D2" w:rsidRPr="005F0ABD" w:rsidRDefault="009C26D2" w:rsidP="009C26D2">
      <w:pPr>
        <w:pStyle w:val="Standard"/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>- оборудованы лифтом с круглосуточным подъемом и спуском (грузовой и пассажирский лифт отдельно);</w:t>
      </w:r>
    </w:p>
    <w:p w:rsidR="009C26D2" w:rsidRPr="005F0ABD" w:rsidRDefault="009C26D2" w:rsidP="009C26D2">
      <w:pPr>
        <w:pStyle w:val="Standard"/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>- обеспечены круглосуточной службой приема.</w:t>
      </w:r>
    </w:p>
    <w:p w:rsidR="009C26D2" w:rsidRPr="005F0ABD" w:rsidRDefault="009C26D2" w:rsidP="009C26D2">
      <w:pPr>
        <w:pStyle w:val="Standard"/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 xml:space="preserve">Здания и сооружения организации, оказывающей санаторно-курортные услуги, должны соответствовать требованиям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5F0ABD">
        <w:rPr>
          <w:rFonts w:eastAsia="Times New Roman"/>
          <w:bCs/>
          <w:lang w:eastAsia="ru-RU"/>
        </w:rPr>
        <w:t>Минрегиона</w:t>
      </w:r>
      <w:proofErr w:type="spellEnd"/>
      <w:r w:rsidRPr="005F0ABD">
        <w:rPr>
          <w:rFonts w:eastAsia="Times New Roman"/>
          <w:bCs/>
          <w:lang w:eastAsia="ru-RU"/>
        </w:rPr>
        <w:t xml:space="preserve"> России от 27.12.2011 № 605) (для услуг, оказываемых с 15.05.2017г. СП 59.13330.2016 (утв. Приказом Минстроя России от 14.11.2016 №798/</w:t>
      </w:r>
      <w:proofErr w:type="spellStart"/>
      <w:r w:rsidRPr="005F0ABD">
        <w:rPr>
          <w:rFonts w:eastAsia="Times New Roman"/>
          <w:bCs/>
          <w:lang w:eastAsia="ru-RU"/>
        </w:rPr>
        <w:t>пр</w:t>
      </w:r>
      <w:proofErr w:type="spellEnd"/>
      <w:r w:rsidRPr="005F0ABD">
        <w:rPr>
          <w:rFonts w:eastAsia="Times New Roman"/>
          <w:bCs/>
          <w:lang w:eastAsia="ru-RU"/>
        </w:rPr>
        <w:t>). Размещение застрахованных лиц, передвигающихся с помощью кресел-колясок и вспомогательных средств хождения, а в случае необходимости и сопровождающих их лиц, должно осуществляться в специально оборудованных для данной категории лиц номерах, в том числе:</w:t>
      </w:r>
    </w:p>
    <w:p w:rsidR="009C26D2" w:rsidRPr="005F0ABD" w:rsidRDefault="009C26D2" w:rsidP="009C26D2">
      <w:pPr>
        <w:pStyle w:val="Standard"/>
        <w:tabs>
          <w:tab w:val="left" w:pos="1134"/>
        </w:tabs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>•</w:t>
      </w:r>
      <w:r w:rsidRPr="005F0ABD">
        <w:rPr>
          <w:rFonts w:eastAsia="Times New Roman"/>
          <w:bCs/>
          <w:lang w:eastAsia="ru-RU"/>
        </w:rPr>
        <w:tab/>
        <w:t>следует обеспечить в номере свободное пространство диаметром не менее 1,4 м перед дверью, у кровати, перед шкафами и окнами;</w:t>
      </w:r>
    </w:p>
    <w:p w:rsidR="009C26D2" w:rsidRPr="005F0ABD" w:rsidRDefault="009C26D2" w:rsidP="009C26D2">
      <w:pPr>
        <w:pStyle w:val="Standard"/>
        <w:tabs>
          <w:tab w:val="left" w:pos="1134"/>
        </w:tabs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>•</w:t>
      </w:r>
      <w:r w:rsidRPr="005F0ABD">
        <w:rPr>
          <w:rFonts w:eastAsia="Times New Roman"/>
          <w:bCs/>
          <w:lang w:eastAsia="ru-RU"/>
        </w:rPr>
        <w:tab/>
        <w:t>ширина проема в свету входной двери и/или балконной двери должна быть не менее 0,9 м;</w:t>
      </w:r>
    </w:p>
    <w:p w:rsidR="009C26D2" w:rsidRPr="005F0ABD" w:rsidRDefault="009C26D2" w:rsidP="009C26D2">
      <w:pPr>
        <w:pStyle w:val="Standard"/>
        <w:tabs>
          <w:tab w:val="left" w:pos="1134"/>
        </w:tabs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>•</w:t>
      </w:r>
      <w:r w:rsidRPr="005F0ABD">
        <w:rPr>
          <w:rFonts w:eastAsia="Times New Roman"/>
          <w:bCs/>
          <w:lang w:eastAsia="ru-RU"/>
        </w:rPr>
        <w:tab/>
        <w:t>ширина дверного проема в свету в санитарно-гигиенические помещения должна быть не менее 0,8 м;</w:t>
      </w:r>
    </w:p>
    <w:p w:rsidR="009C26D2" w:rsidRPr="005F0ABD" w:rsidRDefault="009C26D2" w:rsidP="009C26D2">
      <w:pPr>
        <w:pStyle w:val="Standard"/>
        <w:tabs>
          <w:tab w:val="left" w:pos="1134"/>
        </w:tabs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>•</w:t>
      </w:r>
      <w:r w:rsidRPr="005F0ABD">
        <w:rPr>
          <w:rFonts w:eastAsia="Times New Roman"/>
          <w:bCs/>
          <w:lang w:eastAsia="ru-RU"/>
        </w:rPr>
        <w:tab/>
        <w:t>душевая кабина или ванная комната должны быть оборудованы переносным или закрепленным на стене складным сиденьем, ручным душем, настенными поручнями, крючками для одежды, костылей и других принадлежностей.</w:t>
      </w:r>
    </w:p>
    <w:p w:rsidR="009C26D2" w:rsidRPr="005F0ABD" w:rsidRDefault="009C26D2" w:rsidP="009C26D2">
      <w:pPr>
        <w:pStyle w:val="Standard"/>
        <w:tabs>
          <w:tab w:val="left" w:pos="1134"/>
        </w:tabs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 xml:space="preserve">На территории организации, оказывающей услуги на санаторно-курортное лечение, должна быть создана </w:t>
      </w:r>
      <w:proofErr w:type="spellStart"/>
      <w:r w:rsidRPr="005F0ABD">
        <w:rPr>
          <w:rFonts w:eastAsia="Times New Roman"/>
          <w:bCs/>
          <w:lang w:eastAsia="ru-RU"/>
        </w:rPr>
        <w:t>безбарьерная</w:t>
      </w:r>
      <w:proofErr w:type="spellEnd"/>
      <w:r w:rsidRPr="005F0ABD">
        <w:rPr>
          <w:rFonts w:eastAsia="Times New Roman"/>
          <w:bCs/>
          <w:lang w:eastAsia="ru-RU"/>
        </w:rPr>
        <w:t xml:space="preserve"> среда передвижения для маломобильных групп населения (МГН), передвигающихся с помощью кресел-колясок и вспомогательных средств хождения во все функциональные подразделения учреждения, в том числе:</w:t>
      </w:r>
    </w:p>
    <w:p w:rsidR="009C26D2" w:rsidRPr="005F0ABD" w:rsidRDefault="009C26D2" w:rsidP="009C26D2">
      <w:pPr>
        <w:pStyle w:val="Standard"/>
        <w:tabs>
          <w:tab w:val="left" w:pos="1134"/>
        </w:tabs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>•</w:t>
      </w:r>
      <w:r w:rsidRPr="005F0ABD">
        <w:rPr>
          <w:rFonts w:eastAsia="Times New Roman"/>
          <w:bCs/>
          <w:lang w:eastAsia="ru-RU"/>
        </w:rPr>
        <w:tab/>
        <w:t>наружные лестницы должны дублироваться пандусами или подъемными устройствами;</w:t>
      </w:r>
    </w:p>
    <w:p w:rsidR="009C26D2" w:rsidRPr="005F0ABD" w:rsidRDefault="009C26D2" w:rsidP="009C26D2">
      <w:pPr>
        <w:pStyle w:val="Standard"/>
        <w:tabs>
          <w:tab w:val="left" w:pos="1134"/>
        </w:tabs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>•</w:t>
      </w:r>
      <w:r w:rsidRPr="005F0ABD">
        <w:rPr>
          <w:rFonts w:eastAsia="Times New Roman"/>
          <w:bCs/>
          <w:lang w:eastAsia="ru-RU"/>
        </w:rPr>
        <w:tab/>
        <w:t>наружные лестницы и пандусы должны быть оборудованы поручнями, длина марша пандуса не должна превышать 9,0 м, а уклон не круче 1:20;</w:t>
      </w:r>
    </w:p>
    <w:p w:rsidR="009C26D2" w:rsidRPr="005F0ABD" w:rsidRDefault="009C26D2" w:rsidP="009C26D2">
      <w:pPr>
        <w:pStyle w:val="Standard"/>
        <w:tabs>
          <w:tab w:val="left" w:pos="1134"/>
        </w:tabs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>•</w:t>
      </w:r>
      <w:r w:rsidRPr="005F0ABD">
        <w:rPr>
          <w:rFonts w:eastAsia="Times New Roman"/>
          <w:bCs/>
          <w:lang w:eastAsia="ru-RU"/>
        </w:rPr>
        <w:tab/>
        <w:t>покрытие пешеходных дорожек, тротуаров и пандусов должно быть из твердых материалов, ровным, шероховатым, без зазоров, не создающим вибрацию при движении, а также предотвращающим скольжение;</w:t>
      </w:r>
    </w:p>
    <w:p w:rsidR="009C26D2" w:rsidRPr="005F0ABD" w:rsidRDefault="009C26D2" w:rsidP="009C26D2">
      <w:pPr>
        <w:pStyle w:val="Standard"/>
        <w:tabs>
          <w:tab w:val="left" w:pos="1134"/>
        </w:tabs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>•</w:t>
      </w:r>
      <w:r w:rsidRPr="005F0ABD">
        <w:rPr>
          <w:rFonts w:eastAsia="Times New Roman"/>
          <w:bCs/>
          <w:lang w:eastAsia="ru-RU"/>
        </w:rPr>
        <w:tab/>
        <w:t>пути движения, доступные для МГН должны быть обеспечены системой средств информационной поддержки;</w:t>
      </w:r>
    </w:p>
    <w:p w:rsidR="009C26D2" w:rsidRPr="005F0ABD" w:rsidRDefault="009C26D2" w:rsidP="009C26D2">
      <w:pPr>
        <w:pStyle w:val="Standard"/>
        <w:tabs>
          <w:tab w:val="left" w:pos="1134"/>
        </w:tabs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>•</w:t>
      </w:r>
      <w:r w:rsidRPr="005F0ABD">
        <w:rPr>
          <w:rFonts w:eastAsia="Times New Roman"/>
          <w:bCs/>
          <w:lang w:eastAsia="ru-RU"/>
        </w:rPr>
        <w:tab/>
        <w:t xml:space="preserve">продольный уклон путей движения, по которому возможен проезд инвалидов </w:t>
      </w:r>
      <w:r w:rsidRPr="005F0ABD">
        <w:rPr>
          <w:rFonts w:eastAsia="Times New Roman"/>
          <w:bCs/>
          <w:lang w:eastAsia="ru-RU"/>
        </w:rPr>
        <w:lastRenderedPageBreak/>
        <w:t>на креслах-колясках, не должен превышать 5%, поперечный 2%;</w:t>
      </w:r>
    </w:p>
    <w:p w:rsidR="009C26D2" w:rsidRPr="005F0ABD" w:rsidRDefault="009C26D2" w:rsidP="009C26D2">
      <w:pPr>
        <w:pStyle w:val="Standard"/>
        <w:tabs>
          <w:tab w:val="left" w:pos="1134"/>
        </w:tabs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>•</w:t>
      </w:r>
      <w:r w:rsidRPr="005F0ABD">
        <w:rPr>
          <w:rFonts w:eastAsia="Times New Roman"/>
          <w:bCs/>
          <w:lang w:eastAsia="ru-RU"/>
        </w:rPr>
        <w:tab/>
        <w:t>в здании должен быть как минимум один вход, доступный для МГН, с поверхности земли и из каждого, доступного для МГН подземного или надземного уровня, соединенного с этим зданием;</w:t>
      </w:r>
    </w:p>
    <w:p w:rsidR="009C26D2" w:rsidRPr="005F0ABD" w:rsidRDefault="009C26D2" w:rsidP="009C26D2">
      <w:pPr>
        <w:pStyle w:val="Standard"/>
        <w:tabs>
          <w:tab w:val="left" w:pos="1134"/>
        </w:tabs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>•</w:t>
      </w:r>
      <w:r w:rsidRPr="005F0ABD">
        <w:rPr>
          <w:rFonts w:eastAsia="Times New Roman"/>
          <w:bCs/>
          <w:lang w:eastAsia="ru-RU"/>
        </w:rPr>
        <w:tab/>
        <w:t>входные двери должны иметь ширину в свету не менее 1,2</w:t>
      </w:r>
      <w:r>
        <w:rPr>
          <w:rFonts w:eastAsia="Times New Roman"/>
          <w:bCs/>
          <w:lang w:eastAsia="ru-RU"/>
        </w:rPr>
        <w:t xml:space="preserve"> м, высота каждого элемента </w:t>
      </w:r>
      <w:r w:rsidRPr="005F0ABD">
        <w:rPr>
          <w:rFonts w:eastAsia="Times New Roman"/>
          <w:bCs/>
          <w:lang w:eastAsia="ru-RU"/>
        </w:rPr>
        <w:t>порога не должна превышать 0,014 м.</w:t>
      </w:r>
    </w:p>
    <w:p w:rsidR="009C26D2" w:rsidRPr="005F0ABD" w:rsidRDefault="009C26D2" w:rsidP="009C26D2">
      <w:pPr>
        <w:pStyle w:val="Standard"/>
        <w:tabs>
          <w:tab w:val="left" w:pos="1134"/>
        </w:tabs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>12.2 Услуги по санаторно-курортному лечению граждан должны быть выполнены и оказаны с надлежащим качеством (с учетом рекомендованных стандартов санаторно-курортной помощи), в соответствии с Приказом Министерства здравоохранения РФ от 05.</w:t>
      </w:r>
      <w:r>
        <w:rPr>
          <w:rFonts w:eastAsia="Times New Roman"/>
          <w:bCs/>
          <w:lang w:eastAsia="ru-RU"/>
        </w:rPr>
        <w:t>05.2016 № 279н «Об утверждении П</w:t>
      </w:r>
      <w:r w:rsidRPr="005F0ABD">
        <w:rPr>
          <w:rFonts w:eastAsia="Times New Roman"/>
          <w:bCs/>
          <w:lang w:eastAsia="ru-RU"/>
        </w:rPr>
        <w:t xml:space="preserve">орядка организации санаторно-курортного лечения».  Оказание услуг по санаторно-курортному лечению осуществляется с привлечением врачей-специалистов с действующими сертификатами, соответствующих профилям санаторно-курортного учреждения (в </w:t>
      </w:r>
      <w:proofErr w:type="spellStart"/>
      <w:r w:rsidRPr="005F0ABD">
        <w:rPr>
          <w:rFonts w:eastAsia="Times New Roman"/>
          <w:bCs/>
          <w:lang w:eastAsia="ru-RU"/>
        </w:rPr>
        <w:t>т.ч</w:t>
      </w:r>
      <w:proofErr w:type="spellEnd"/>
      <w:r w:rsidRPr="005F0ABD">
        <w:rPr>
          <w:rFonts w:eastAsia="Times New Roman"/>
          <w:bCs/>
          <w:lang w:eastAsia="ru-RU"/>
        </w:rPr>
        <w:t xml:space="preserve">. </w:t>
      </w:r>
      <w:r>
        <w:rPr>
          <w:rFonts w:eastAsia="Times New Roman"/>
          <w:bCs/>
          <w:lang w:eastAsia="ru-RU"/>
        </w:rPr>
        <w:t xml:space="preserve">кардиолог, </w:t>
      </w:r>
      <w:r w:rsidRPr="001E06D7">
        <w:rPr>
          <w:bCs/>
          <w:color w:val="000000"/>
          <w:lang w:eastAsia="ru-RU"/>
        </w:rPr>
        <w:t>гастроэнтеролог</w:t>
      </w:r>
      <w:r>
        <w:rPr>
          <w:bCs/>
          <w:color w:val="000000"/>
          <w:lang w:eastAsia="ru-RU"/>
        </w:rPr>
        <w:t>, диетолог</w:t>
      </w:r>
      <w:r w:rsidRPr="001E06D7">
        <w:rPr>
          <w:bCs/>
          <w:color w:val="000000"/>
          <w:lang w:eastAsia="ru-RU"/>
        </w:rPr>
        <w:t>, эндокринолог</w:t>
      </w:r>
      <w:r>
        <w:rPr>
          <w:bCs/>
          <w:color w:val="000000"/>
          <w:lang w:eastAsia="ru-RU"/>
        </w:rPr>
        <w:t>, педиат</w:t>
      </w:r>
      <w:r w:rsidRPr="005F0ABD">
        <w:rPr>
          <w:rFonts w:eastAsia="Times New Roman"/>
          <w:bCs/>
          <w:lang w:eastAsia="ru-RU"/>
        </w:rPr>
        <w:t xml:space="preserve">р, </w:t>
      </w:r>
      <w:r>
        <w:rPr>
          <w:rFonts w:eastAsia="Times New Roman"/>
          <w:bCs/>
          <w:lang w:eastAsia="ru-RU"/>
        </w:rPr>
        <w:t>физиотерапевт, терапевт</w:t>
      </w:r>
      <w:r w:rsidRPr="005F0ABD">
        <w:rPr>
          <w:rFonts w:eastAsia="Times New Roman"/>
          <w:bCs/>
          <w:lang w:eastAsia="ru-RU"/>
        </w:rPr>
        <w:t>).</w:t>
      </w:r>
    </w:p>
    <w:p w:rsidR="009C26D2" w:rsidRPr="005F0ABD" w:rsidRDefault="009C26D2" w:rsidP="009C26D2">
      <w:pPr>
        <w:pStyle w:val="Standard"/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 xml:space="preserve">12.3 Оформление медицинской документации для поступающих на санаторно-курортное лечение граждан - получателей набора социальных услуг должно осуществляться по установленным формам, утвержденным </w:t>
      </w:r>
      <w:proofErr w:type="spellStart"/>
      <w:r w:rsidRPr="005F0ABD">
        <w:rPr>
          <w:rFonts w:eastAsia="Times New Roman"/>
          <w:bCs/>
          <w:lang w:eastAsia="ru-RU"/>
        </w:rPr>
        <w:t>Минздравсоцразвитием</w:t>
      </w:r>
      <w:proofErr w:type="spellEnd"/>
      <w:r w:rsidRPr="005F0ABD">
        <w:rPr>
          <w:rFonts w:eastAsia="Times New Roman"/>
          <w:bCs/>
          <w:lang w:eastAsia="ru-RU"/>
        </w:rPr>
        <w:t xml:space="preserve"> России.</w:t>
      </w:r>
    </w:p>
    <w:p w:rsidR="009C26D2" w:rsidRPr="005F0ABD" w:rsidRDefault="009C26D2" w:rsidP="009C26D2">
      <w:pPr>
        <w:pStyle w:val="Standard"/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>12.4 Оснащение и оборудование лечебно-диагностических отделений и кабинетов организаций, оказывающих санаторно-курортные услуги гражданам - получателям набора социальных услуг должно быть достаточным для проведения полного курса лечения.</w:t>
      </w:r>
    </w:p>
    <w:p w:rsidR="009C26D2" w:rsidRPr="005F0ABD" w:rsidRDefault="009C26D2" w:rsidP="009C26D2">
      <w:pPr>
        <w:pStyle w:val="Standard"/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>12.4.1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9C26D2" w:rsidRDefault="009C26D2" w:rsidP="009C26D2">
      <w:pPr>
        <w:pStyle w:val="Standard"/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>12.5 Размещение граждан – получателей набора социальных услуг, а в случае необходимости и сопровождающего его лица, в двухместных номерах со всеми удобствами, включая наличие холодильника в номере (за исключением номеров повышенной комфортности), с возможностью соблюдения личной гигиены (душ, ванна, санузел, туалетная бумага, мыло) в номере проживания</w:t>
      </w:r>
      <w:r>
        <w:rPr>
          <w:rFonts w:eastAsia="Times New Roman"/>
          <w:bCs/>
          <w:lang w:eastAsia="ru-RU"/>
        </w:rPr>
        <w:t>.</w:t>
      </w:r>
    </w:p>
    <w:p w:rsidR="009C26D2" w:rsidRPr="005F0ABD" w:rsidRDefault="009C26D2" w:rsidP="009C26D2">
      <w:pPr>
        <w:pStyle w:val="Standard"/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>12.6 Ор</w:t>
      </w:r>
      <w:r>
        <w:rPr>
          <w:rFonts w:eastAsia="Times New Roman"/>
          <w:bCs/>
          <w:lang w:eastAsia="ru-RU"/>
        </w:rPr>
        <w:t>ганизация досуга и развлечений.</w:t>
      </w:r>
    </w:p>
    <w:p w:rsidR="009C26D2" w:rsidRPr="005F0ABD" w:rsidRDefault="009C26D2" w:rsidP="009C26D2">
      <w:pPr>
        <w:pStyle w:val="Standard"/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>12.7 Организация диетического и лечебного питания в соотве</w:t>
      </w:r>
      <w:r>
        <w:rPr>
          <w:rFonts w:eastAsia="Times New Roman"/>
          <w:bCs/>
          <w:lang w:eastAsia="ru-RU"/>
        </w:rPr>
        <w:t>тствии с медицинскими показания</w:t>
      </w:r>
      <w:r w:rsidRPr="005F0ABD">
        <w:rPr>
          <w:rFonts w:eastAsia="Times New Roman"/>
          <w:bCs/>
          <w:lang w:eastAsia="ru-RU"/>
        </w:rPr>
        <w:t>ми. Организация лечебного питания в соответствии со следующими нормативно-правовыми актами:</w:t>
      </w:r>
    </w:p>
    <w:p w:rsidR="009C26D2" w:rsidRPr="005F0ABD" w:rsidRDefault="009C26D2" w:rsidP="009C26D2">
      <w:pPr>
        <w:pStyle w:val="Standard"/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>- приказом Минздрава РФ от 05.08.2003 №330 «О мерах по с</w:t>
      </w:r>
      <w:r>
        <w:rPr>
          <w:rFonts w:eastAsia="Times New Roman"/>
          <w:bCs/>
          <w:lang w:eastAsia="ru-RU"/>
        </w:rPr>
        <w:t>овершенствованию лечебного пита</w:t>
      </w:r>
      <w:r w:rsidRPr="005F0ABD">
        <w:rPr>
          <w:rFonts w:eastAsia="Times New Roman"/>
          <w:bCs/>
          <w:lang w:eastAsia="ru-RU"/>
        </w:rPr>
        <w:t>ния в лечебно-профилактических учреждениях Российской Федерации»;</w:t>
      </w:r>
    </w:p>
    <w:p w:rsidR="009C26D2" w:rsidRPr="005F0ABD" w:rsidRDefault="009C26D2" w:rsidP="009C26D2">
      <w:pPr>
        <w:pStyle w:val="Standard"/>
        <w:ind w:firstLine="708"/>
        <w:jc w:val="both"/>
        <w:rPr>
          <w:rFonts w:eastAsia="Times New Roman"/>
          <w:bCs/>
          <w:lang w:eastAsia="ru-RU"/>
        </w:rPr>
      </w:pPr>
      <w:r w:rsidRPr="005F0ABD">
        <w:rPr>
          <w:rFonts w:eastAsia="Times New Roman"/>
          <w:bCs/>
          <w:lang w:eastAsia="ru-RU"/>
        </w:rPr>
        <w:t>- Межгосударственным стандартом ГОСТ 30389-2013 «Услуги общественного питания. Предприятия общественного питания. Классификация и общие требования»;</w:t>
      </w:r>
    </w:p>
    <w:p w:rsidR="009C26D2" w:rsidRDefault="009C26D2" w:rsidP="009C26D2">
      <w:pPr>
        <w:pStyle w:val="2"/>
        <w:spacing w:line="240" w:lineRule="auto"/>
        <w:ind w:firstLine="708"/>
        <w:jc w:val="both"/>
        <w:rPr>
          <w:b w:val="0"/>
          <w:bCs/>
          <w:sz w:val="24"/>
          <w:szCs w:val="24"/>
          <w:lang w:val="ru-RU"/>
        </w:rPr>
      </w:pPr>
      <w:r>
        <w:rPr>
          <w:b w:val="0"/>
          <w:bCs/>
          <w:sz w:val="24"/>
          <w:szCs w:val="24"/>
          <w:lang w:val="ru-RU"/>
        </w:rPr>
        <w:t xml:space="preserve">- </w:t>
      </w:r>
      <w:r w:rsidRPr="0070164A">
        <w:rPr>
          <w:b w:val="0"/>
          <w:bCs/>
          <w:sz w:val="24"/>
          <w:szCs w:val="24"/>
          <w:lang w:val="ru-RU"/>
        </w:rPr>
        <w:t>Постановление</w:t>
      </w:r>
      <w:r>
        <w:rPr>
          <w:b w:val="0"/>
          <w:bCs/>
          <w:sz w:val="24"/>
          <w:szCs w:val="24"/>
          <w:lang w:val="ru-RU"/>
        </w:rPr>
        <w:t>м</w:t>
      </w:r>
      <w:r w:rsidRPr="0070164A">
        <w:rPr>
          <w:b w:val="0"/>
          <w:bCs/>
          <w:sz w:val="24"/>
          <w:szCs w:val="24"/>
          <w:lang w:val="ru-RU"/>
        </w:rPr>
        <w:t xml:space="preserve"> Главного государственного санитарного врача РФ от 27.10.2020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</w:r>
      <w:r>
        <w:rPr>
          <w:b w:val="0"/>
          <w:bCs/>
          <w:sz w:val="24"/>
          <w:szCs w:val="24"/>
          <w:lang w:val="ru-RU"/>
        </w:rPr>
        <w:t>.</w:t>
      </w:r>
      <w:r w:rsidRPr="0070164A">
        <w:rPr>
          <w:b w:val="0"/>
          <w:bCs/>
          <w:sz w:val="24"/>
          <w:szCs w:val="24"/>
          <w:lang w:val="ru-RU"/>
        </w:rPr>
        <w:t xml:space="preserve"> </w:t>
      </w:r>
    </w:p>
    <w:p w:rsidR="009C26D2" w:rsidRPr="00511B75" w:rsidRDefault="009C26D2" w:rsidP="009C26D2">
      <w:pPr>
        <w:pStyle w:val="2"/>
        <w:spacing w:line="240" w:lineRule="auto"/>
        <w:ind w:firstLine="708"/>
        <w:jc w:val="both"/>
        <w:rPr>
          <w:b w:val="0"/>
          <w:spacing w:val="-4"/>
          <w:sz w:val="24"/>
          <w:szCs w:val="24"/>
          <w:lang w:val="ru-RU"/>
        </w:rPr>
      </w:pPr>
      <w:r w:rsidRPr="00511B75">
        <w:rPr>
          <w:bCs/>
          <w:sz w:val="24"/>
          <w:szCs w:val="24"/>
          <w:lang w:val="ru-RU"/>
        </w:rPr>
        <w:t>13.</w:t>
      </w:r>
      <w:r w:rsidRPr="00511B75">
        <w:rPr>
          <w:b w:val="0"/>
          <w:bCs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О</w:t>
      </w:r>
      <w:r>
        <w:rPr>
          <w:b w:val="0"/>
          <w:spacing w:val="-4"/>
          <w:sz w:val="24"/>
          <w:szCs w:val="24"/>
          <w:lang w:val="ru-RU"/>
        </w:rPr>
        <w:t xml:space="preserve">казание бесплатных транспортных услуг по доставке граждан – получателей набора социальных услуг и сопровождающих лиц от места нахождения Заказчика (г. Ульяновск, ул. </w:t>
      </w:r>
      <w:r w:rsidRPr="00511B75">
        <w:rPr>
          <w:b w:val="0"/>
          <w:spacing w:val="-4"/>
          <w:sz w:val="24"/>
          <w:szCs w:val="24"/>
          <w:lang w:val="ru-RU"/>
        </w:rPr>
        <w:t>Энгельса, 5а) к месту санаторно-курортного лечения и обратно специализированным транспортом (с возможностью перевозки инвалидов-колясочников).</w:t>
      </w:r>
    </w:p>
    <w:p w:rsidR="009C26D2" w:rsidRDefault="009C26D2" w:rsidP="009C26D2">
      <w:pPr>
        <w:pStyle w:val="Standard"/>
        <w:ind w:firstLine="708"/>
        <w:jc w:val="both"/>
      </w:pPr>
      <w:r w:rsidRPr="003406F6">
        <w:rPr>
          <w:rFonts w:eastAsia="Times New Roman CYR" w:cs="Times New Roman CYR"/>
          <w:b/>
          <w:lang w:bidi="ru-RU"/>
        </w:rPr>
        <w:t>14.</w:t>
      </w:r>
      <w:r>
        <w:rPr>
          <w:rFonts w:eastAsia="Times New Roman CYR" w:cs="Times New Roman CYR"/>
          <w:lang w:bidi="ru-RU"/>
        </w:rPr>
        <w:t xml:space="preserve"> Исполнитель при заключении Контракта должен представить Заказчику обеспечение исполнения государственного контракта</w:t>
      </w:r>
      <w:r>
        <w:rPr>
          <w:rStyle w:val="a7"/>
        </w:rPr>
        <w:footnoteReference w:id="1"/>
      </w:r>
      <w:r>
        <w:rPr>
          <w:rFonts w:eastAsia="Times New Roman CYR" w:cs="Times New Roman CYR"/>
          <w:lang w:bidi="ru-RU"/>
        </w:rPr>
        <w:t xml:space="preserve"> в размере 10 (десять) процентов от начальной (максимальной) цены Контракта, что составляет 113 240 (</w:t>
      </w:r>
      <w:r w:rsidRPr="004169AD">
        <w:rPr>
          <w:rFonts w:eastAsia="Times New Roman CYR" w:cs="Times New Roman CYR"/>
          <w:lang w:bidi="ru-RU"/>
        </w:rPr>
        <w:t xml:space="preserve">Сто </w:t>
      </w:r>
      <w:r>
        <w:rPr>
          <w:rFonts w:eastAsia="Times New Roman CYR" w:cs="Times New Roman CYR"/>
          <w:lang w:bidi="ru-RU"/>
        </w:rPr>
        <w:t>тринадцать</w:t>
      </w:r>
      <w:r w:rsidRPr="004169AD">
        <w:rPr>
          <w:rFonts w:eastAsia="Times New Roman CYR" w:cs="Times New Roman CYR"/>
          <w:lang w:bidi="ru-RU"/>
        </w:rPr>
        <w:t xml:space="preserve"> </w:t>
      </w:r>
      <w:r>
        <w:rPr>
          <w:rFonts w:eastAsia="Times New Roman CYR" w:cs="Times New Roman CYR"/>
          <w:lang w:bidi="ru-RU"/>
        </w:rPr>
        <w:t>тысяч двести сорок) рублей 40 копеек.</w:t>
      </w:r>
    </w:p>
    <w:p w:rsidR="009C26D2" w:rsidRDefault="009C26D2" w:rsidP="009C26D2">
      <w:pPr>
        <w:pStyle w:val="Standard"/>
        <w:spacing w:line="220" w:lineRule="atLeast"/>
        <w:ind w:firstLine="709"/>
        <w:jc w:val="both"/>
      </w:pPr>
      <w:r w:rsidRPr="003406F6">
        <w:rPr>
          <w:rFonts w:eastAsia="Times New Roman CYR" w:cs="Times New Roman CYR"/>
          <w:b/>
          <w:lang w:bidi="ru-RU"/>
        </w:rPr>
        <w:t>15.</w:t>
      </w:r>
      <w:r>
        <w:rPr>
          <w:rFonts w:eastAsia="Times New Roman CYR" w:cs="Times New Roman CYR"/>
          <w:lang w:bidi="ru-RU"/>
        </w:rPr>
        <w:t xml:space="preserve"> </w:t>
      </w:r>
      <w:r>
        <w:t xml:space="preserve">Если при проведении аукциона Исполнителем предложена цена Контракта, которая на двадцать пять и более процентов ниже НМЦК, </w:t>
      </w:r>
      <w:r>
        <w:rPr>
          <w:color w:val="000000"/>
        </w:rPr>
        <w:t xml:space="preserve">Исполнитель предоставляет по </w:t>
      </w:r>
      <w:r>
        <w:rPr>
          <w:color w:val="000000"/>
        </w:rPr>
        <w:lastRenderedPageBreak/>
        <w:t>выбору либо повышенное обеспечение исполнения Контракта (в размере, превышающем в полтора раза размер обеспечения исполнения Контракта, что составляет 169 860 (Сто шестьдесят девять тысяч восемьсот шестьдесят) рублей 60 копеек,</w:t>
      </w:r>
      <w:r>
        <w:t xml:space="preserve"> определяемом согласно требованиям статьи 37 Федерального закона от 05.04.2013 № 44–ФЗ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eastAsia="Calibri"/>
          <w:lang w:eastAsia="en-US"/>
        </w:rPr>
        <w:t>или</w:t>
      </w:r>
      <w:r>
        <w:t xml:space="preserve"> информацию, </w:t>
      </w:r>
      <w:r>
        <w:rPr>
          <w:rFonts w:eastAsia="Calibri"/>
          <w:lang w:eastAsia="en-US"/>
        </w:rPr>
        <w:t xml:space="preserve">подтверждающую его добросовестность в соответствии с указанной статьей, с одновременным предоставлением </w:t>
      </w:r>
      <w:r w:rsidRPr="00BF0469">
        <w:rPr>
          <w:rFonts w:eastAsia="Calibri"/>
          <w:lang w:eastAsia="en-US"/>
        </w:rPr>
        <w:t>обеспечения исполнения контракта в размере обеспечения исполнения контракта, ука</w:t>
      </w:r>
      <w:r>
        <w:rPr>
          <w:rFonts w:eastAsia="Calibri"/>
          <w:lang w:eastAsia="en-US"/>
        </w:rPr>
        <w:t>занном в документации о закупке.</w:t>
      </w:r>
    </w:p>
    <w:p w:rsidR="009C26D2" w:rsidRPr="003406F6" w:rsidRDefault="009C26D2" w:rsidP="009C26D2">
      <w:pPr>
        <w:pStyle w:val="Standard"/>
        <w:spacing w:line="220" w:lineRule="atLeast"/>
        <w:ind w:firstLine="709"/>
        <w:jc w:val="both"/>
        <w:rPr>
          <w:rFonts w:eastAsia="Times New Roman CYR" w:cs="Times New Roman CYR"/>
          <w:lang w:bidi="ru-RU"/>
        </w:rPr>
      </w:pPr>
      <w:r w:rsidRPr="003406F6">
        <w:rPr>
          <w:rFonts w:eastAsia="Times New Roman CYR" w:cs="Times New Roman CYR"/>
          <w:b/>
          <w:lang w:bidi="ru-RU"/>
        </w:rPr>
        <w:t>16.</w:t>
      </w:r>
      <w:r w:rsidRPr="003406F6">
        <w:rPr>
          <w:rFonts w:eastAsia="Times New Roman CYR" w:cs="Times New Roman CYR"/>
          <w:lang w:bidi="ru-RU"/>
        </w:rPr>
        <w:t xml:space="preserve"> В случае не предоставления Исполнителем обеспечения исполнения Контракта в срок, установленный для заключения Контракта, Исполнитель считается уклонившимся от заключения Контракта. В этом случае Заказчик,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направляет в федеральный орган исполнительной власти, уполномоченный на осуществление контроля в сфере закупок, информацию об Исполнителе для включения в реестр недобросовестных исполнителей.</w:t>
      </w:r>
    </w:p>
    <w:p w:rsidR="009C26D2" w:rsidRPr="003406F6" w:rsidRDefault="009C26D2" w:rsidP="009C26D2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3D04C2" w:rsidRDefault="003D04C2" w:rsidP="00A0117B">
      <w:pPr>
        <w:pStyle w:val="Standard"/>
      </w:pPr>
    </w:p>
    <w:sectPr w:rsidR="003D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68" w:rsidRDefault="00424C68" w:rsidP="00257714">
      <w:pPr>
        <w:spacing w:after="0" w:line="240" w:lineRule="auto"/>
      </w:pPr>
      <w:r>
        <w:separator/>
      </w:r>
    </w:p>
  </w:endnote>
  <w:endnote w:type="continuationSeparator" w:id="0">
    <w:p w:rsidR="00424C68" w:rsidRDefault="00424C68" w:rsidP="0025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68" w:rsidRDefault="00424C68" w:rsidP="00257714">
      <w:pPr>
        <w:spacing w:after="0" w:line="240" w:lineRule="auto"/>
      </w:pPr>
      <w:r>
        <w:separator/>
      </w:r>
    </w:p>
  </w:footnote>
  <w:footnote w:type="continuationSeparator" w:id="0">
    <w:p w:rsidR="00424C68" w:rsidRDefault="00424C68" w:rsidP="00257714">
      <w:pPr>
        <w:spacing w:after="0" w:line="240" w:lineRule="auto"/>
      </w:pPr>
      <w:r>
        <w:continuationSeparator/>
      </w:r>
    </w:p>
  </w:footnote>
  <w:footnote w:id="1">
    <w:p w:rsidR="009C26D2" w:rsidRDefault="009C26D2" w:rsidP="009C26D2">
      <w:pPr>
        <w:pStyle w:val="a5"/>
      </w:pPr>
      <w:r>
        <w:rPr>
          <w:rStyle w:val="a7"/>
        </w:rPr>
        <w:footnoteRef/>
      </w:r>
      <w:r>
        <w:t>За исключением случая, если участником электронного аукциона, с которым заключается контракт, является казенное учреждение.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907ED"/>
    <w:multiLevelType w:val="multilevel"/>
    <w:tmpl w:val="987A2466"/>
    <w:styleLink w:val="WWOutlineListStyle"/>
    <w:lvl w:ilvl="0">
      <w:start w:val="1"/>
      <w:numFmt w:val="decimal"/>
      <w:pStyle w:val="a"/>
      <w:lvlText w:val="%1."/>
      <w:lvlJc w:val="left"/>
      <w:rPr>
        <w:rFonts w:cs="Times New Roman"/>
      </w:rPr>
    </w:lvl>
    <w:lvl w:ilvl="1">
      <w:start w:val="1"/>
      <w:numFmt w:val="decimal"/>
      <w:pStyle w:val="a0"/>
      <w:lvlText w:val="%1.%2.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0263F1E"/>
    <w:multiLevelType w:val="multilevel"/>
    <w:tmpl w:val="2B1E9B02"/>
    <w:styleLink w:val="WWNum16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3">
    <w:nsid w:val="2462761D"/>
    <w:multiLevelType w:val="hybridMultilevel"/>
    <w:tmpl w:val="D5C0E8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14"/>
    <w:rsid w:val="000C6A54"/>
    <w:rsid w:val="001402D1"/>
    <w:rsid w:val="00257714"/>
    <w:rsid w:val="003D04C2"/>
    <w:rsid w:val="004169AD"/>
    <w:rsid w:val="00424C68"/>
    <w:rsid w:val="0056701B"/>
    <w:rsid w:val="009C26D2"/>
    <w:rsid w:val="00A0117B"/>
    <w:rsid w:val="00B613FA"/>
    <w:rsid w:val="00D1117E"/>
    <w:rsid w:val="00EB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5771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rsid w:val="002577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2">
    <w:name w:val="Body Text 2"/>
    <w:basedOn w:val="Standard"/>
    <w:link w:val="20"/>
    <w:rsid w:val="00257714"/>
    <w:pPr>
      <w:suppressAutoHyphens w:val="0"/>
      <w:spacing w:line="360" w:lineRule="auto"/>
      <w:jc w:val="center"/>
    </w:pPr>
    <w:rPr>
      <w:b/>
      <w:sz w:val="28"/>
      <w:szCs w:val="20"/>
      <w:lang w:val="en-US" w:eastAsia="ru-RU"/>
    </w:rPr>
  </w:style>
  <w:style w:type="character" w:customStyle="1" w:styleId="20">
    <w:name w:val="Основной текст 2 Знак"/>
    <w:basedOn w:val="a2"/>
    <w:link w:val="2"/>
    <w:rsid w:val="00257714"/>
    <w:rPr>
      <w:rFonts w:ascii="Times New Roman" w:eastAsia="Lucida Sans Unicode" w:hAnsi="Times New Roman" w:cs="Times New Roman"/>
      <w:b/>
      <w:kern w:val="3"/>
      <w:sz w:val="28"/>
      <w:szCs w:val="20"/>
      <w:lang w:val="en-US" w:eastAsia="ru-RU"/>
    </w:rPr>
  </w:style>
  <w:style w:type="paragraph" w:styleId="a5">
    <w:name w:val="footnote text"/>
    <w:basedOn w:val="Standard"/>
    <w:link w:val="a6"/>
    <w:rsid w:val="00257714"/>
    <w:pPr>
      <w:suppressAutoHyphens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2"/>
    <w:link w:val="a5"/>
    <w:rsid w:val="00257714"/>
    <w:rPr>
      <w:rFonts w:ascii="Times New Roman" w:eastAsia="Lucida Sans Unicode" w:hAnsi="Times New Roman" w:cs="Times New Roman"/>
      <w:kern w:val="3"/>
      <w:sz w:val="20"/>
      <w:szCs w:val="20"/>
      <w:lang w:eastAsia="ru-RU"/>
    </w:rPr>
  </w:style>
  <w:style w:type="character" w:styleId="a7">
    <w:name w:val="footnote reference"/>
    <w:rsid w:val="00257714"/>
    <w:rPr>
      <w:position w:val="0"/>
      <w:vertAlign w:val="superscript"/>
    </w:rPr>
  </w:style>
  <w:style w:type="numbering" w:customStyle="1" w:styleId="WWOutlineListStyle">
    <w:name w:val="WW_OutlineListStyle"/>
    <w:basedOn w:val="a4"/>
    <w:rsid w:val="000C6A54"/>
    <w:pPr>
      <w:numPr>
        <w:numId w:val="1"/>
      </w:numPr>
    </w:pPr>
  </w:style>
  <w:style w:type="paragraph" w:styleId="a">
    <w:name w:val="Title"/>
    <w:basedOn w:val="Standard"/>
    <w:next w:val="a0"/>
    <w:link w:val="a8"/>
    <w:rsid w:val="000C6A54"/>
    <w:pPr>
      <w:numPr>
        <w:numId w:val="1"/>
      </w:numPr>
      <w:suppressAutoHyphens w:val="0"/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eastAsia="ru-RU"/>
    </w:rPr>
  </w:style>
  <w:style w:type="character" w:customStyle="1" w:styleId="a8">
    <w:name w:val="Название Знак"/>
    <w:basedOn w:val="a2"/>
    <w:link w:val="a"/>
    <w:rsid w:val="000C6A54"/>
    <w:rPr>
      <w:rFonts w:ascii="Cambria" w:eastAsia="Lucida Sans Unicode" w:hAnsi="Cambria" w:cs="Times New Roman"/>
      <w:b/>
      <w:bCs/>
      <w:kern w:val="3"/>
      <w:sz w:val="32"/>
      <w:szCs w:val="32"/>
      <w:lang w:eastAsia="ru-RU"/>
    </w:rPr>
  </w:style>
  <w:style w:type="paragraph" w:styleId="a0">
    <w:name w:val="Subtitle"/>
    <w:basedOn w:val="Standard"/>
    <w:next w:val="a1"/>
    <w:link w:val="a9"/>
    <w:rsid w:val="000C6A54"/>
    <w:pPr>
      <w:numPr>
        <w:ilvl w:val="1"/>
        <w:numId w:val="1"/>
      </w:numPr>
      <w:suppressAutoHyphens w:val="0"/>
      <w:spacing w:after="60"/>
      <w:jc w:val="center"/>
      <w:outlineLvl w:val="1"/>
    </w:pPr>
    <w:rPr>
      <w:rFonts w:ascii="Cambria" w:hAnsi="Cambria"/>
      <w:i/>
      <w:iCs/>
      <w:sz w:val="28"/>
      <w:szCs w:val="28"/>
      <w:lang w:eastAsia="ru-RU"/>
    </w:rPr>
  </w:style>
  <w:style w:type="character" w:customStyle="1" w:styleId="a9">
    <w:name w:val="Подзаголовок Знак"/>
    <w:basedOn w:val="a2"/>
    <w:link w:val="a0"/>
    <w:rsid w:val="000C6A54"/>
    <w:rPr>
      <w:rFonts w:ascii="Cambria" w:eastAsia="Lucida Sans Unicode" w:hAnsi="Cambria" w:cs="Times New Roman"/>
      <w:i/>
      <w:iCs/>
      <w:kern w:val="3"/>
      <w:sz w:val="28"/>
      <w:szCs w:val="28"/>
      <w:lang w:eastAsia="ru-RU"/>
    </w:rPr>
  </w:style>
  <w:style w:type="paragraph" w:customStyle="1" w:styleId="western">
    <w:name w:val="western"/>
    <w:basedOn w:val="Standard"/>
    <w:rsid w:val="000C6A54"/>
    <w:pPr>
      <w:suppressAutoHyphens w:val="0"/>
      <w:spacing w:before="100" w:after="119"/>
    </w:pPr>
    <w:rPr>
      <w:color w:val="000000"/>
      <w:lang w:eastAsia="ru-RU"/>
    </w:rPr>
  </w:style>
  <w:style w:type="paragraph" w:styleId="aa">
    <w:name w:val="List Paragraph"/>
    <w:basedOn w:val="Standard"/>
    <w:qFormat/>
    <w:rsid w:val="000C6A54"/>
    <w:pPr>
      <w:suppressAutoHyphens w:val="0"/>
      <w:ind w:left="708"/>
    </w:pPr>
    <w:rPr>
      <w:lang w:eastAsia="ru-RU"/>
    </w:rPr>
  </w:style>
  <w:style w:type="numbering" w:customStyle="1" w:styleId="WWNum16">
    <w:name w:val="WWNum16"/>
    <w:basedOn w:val="a4"/>
    <w:rsid w:val="000C6A54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5771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rsid w:val="002577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2">
    <w:name w:val="Body Text 2"/>
    <w:basedOn w:val="Standard"/>
    <w:link w:val="20"/>
    <w:rsid w:val="00257714"/>
    <w:pPr>
      <w:suppressAutoHyphens w:val="0"/>
      <w:spacing w:line="360" w:lineRule="auto"/>
      <w:jc w:val="center"/>
    </w:pPr>
    <w:rPr>
      <w:b/>
      <w:sz w:val="28"/>
      <w:szCs w:val="20"/>
      <w:lang w:val="en-US" w:eastAsia="ru-RU"/>
    </w:rPr>
  </w:style>
  <w:style w:type="character" w:customStyle="1" w:styleId="20">
    <w:name w:val="Основной текст 2 Знак"/>
    <w:basedOn w:val="a2"/>
    <w:link w:val="2"/>
    <w:rsid w:val="00257714"/>
    <w:rPr>
      <w:rFonts w:ascii="Times New Roman" w:eastAsia="Lucida Sans Unicode" w:hAnsi="Times New Roman" w:cs="Times New Roman"/>
      <w:b/>
      <w:kern w:val="3"/>
      <w:sz w:val="28"/>
      <w:szCs w:val="20"/>
      <w:lang w:val="en-US" w:eastAsia="ru-RU"/>
    </w:rPr>
  </w:style>
  <w:style w:type="paragraph" w:styleId="a5">
    <w:name w:val="footnote text"/>
    <w:basedOn w:val="Standard"/>
    <w:link w:val="a6"/>
    <w:rsid w:val="00257714"/>
    <w:pPr>
      <w:suppressAutoHyphens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2"/>
    <w:link w:val="a5"/>
    <w:rsid w:val="00257714"/>
    <w:rPr>
      <w:rFonts w:ascii="Times New Roman" w:eastAsia="Lucida Sans Unicode" w:hAnsi="Times New Roman" w:cs="Times New Roman"/>
      <w:kern w:val="3"/>
      <w:sz w:val="20"/>
      <w:szCs w:val="20"/>
      <w:lang w:eastAsia="ru-RU"/>
    </w:rPr>
  </w:style>
  <w:style w:type="character" w:styleId="a7">
    <w:name w:val="footnote reference"/>
    <w:rsid w:val="00257714"/>
    <w:rPr>
      <w:position w:val="0"/>
      <w:vertAlign w:val="superscript"/>
    </w:rPr>
  </w:style>
  <w:style w:type="numbering" w:customStyle="1" w:styleId="WWOutlineListStyle">
    <w:name w:val="WW_OutlineListStyle"/>
    <w:basedOn w:val="a4"/>
    <w:rsid w:val="000C6A54"/>
    <w:pPr>
      <w:numPr>
        <w:numId w:val="1"/>
      </w:numPr>
    </w:pPr>
  </w:style>
  <w:style w:type="paragraph" w:styleId="a">
    <w:name w:val="Title"/>
    <w:basedOn w:val="Standard"/>
    <w:next w:val="a0"/>
    <w:link w:val="a8"/>
    <w:rsid w:val="000C6A54"/>
    <w:pPr>
      <w:numPr>
        <w:numId w:val="1"/>
      </w:numPr>
      <w:suppressAutoHyphens w:val="0"/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eastAsia="ru-RU"/>
    </w:rPr>
  </w:style>
  <w:style w:type="character" w:customStyle="1" w:styleId="a8">
    <w:name w:val="Название Знак"/>
    <w:basedOn w:val="a2"/>
    <w:link w:val="a"/>
    <w:rsid w:val="000C6A54"/>
    <w:rPr>
      <w:rFonts w:ascii="Cambria" w:eastAsia="Lucida Sans Unicode" w:hAnsi="Cambria" w:cs="Times New Roman"/>
      <w:b/>
      <w:bCs/>
      <w:kern w:val="3"/>
      <w:sz w:val="32"/>
      <w:szCs w:val="32"/>
      <w:lang w:eastAsia="ru-RU"/>
    </w:rPr>
  </w:style>
  <w:style w:type="paragraph" w:styleId="a0">
    <w:name w:val="Subtitle"/>
    <w:basedOn w:val="Standard"/>
    <w:next w:val="a1"/>
    <w:link w:val="a9"/>
    <w:rsid w:val="000C6A54"/>
    <w:pPr>
      <w:numPr>
        <w:ilvl w:val="1"/>
        <w:numId w:val="1"/>
      </w:numPr>
      <w:suppressAutoHyphens w:val="0"/>
      <w:spacing w:after="60"/>
      <w:jc w:val="center"/>
      <w:outlineLvl w:val="1"/>
    </w:pPr>
    <w:rPr>
      <w:rFonts w:ascii="Cambria" w:hAnsi="Cambria"/>
      <w:i/>
      <w:iCs/>
      <w:sz w:val="28"/>
      <w:szCs w:val="28"/>
      <w:lang w:eastAsia="ru-RU"/>
    </w:rPr>
  </w:style>
  <w:style w:type="character" w:customStyle="1" w:styleId="a9">
    <w:name w:val="Подзаголовок Знак"/>
    <w:basedOn w:val="a2"/>
    <w:link w:val="a0"/>
    <w:rsid w:val="000C6A54"/>
    <w:rPr>
      <w:rFonts w:ascii="Cambria" w:eastAsia="Lucida Sans Unicode" w:hAnsi="Cambria" w:cs="Times New Roman"/>
      <w:i/>
      <w:iCs/>
      <w:kern w:val="3"/>
      <w:sz w:val="28"/>
      <w:szCs w:val="28"/>
      <w:lang w:eastAsia="ru-RU"/>
    </w:rPr>
  </w:style>
  <w:style w:type="paragraph" w:customStyle="1" w:styleId="western">
    <w:name w:val="western"/>
    <w:basedOn w:val="Standard"/>
    <w:rsid w:val="000C6A54"/>
    <w:pPr>
      <w:suppressAutoHyphens w:val="0"/>
      <w:spacing w:before="100" w:after="119"/>
    </w:pPr>
    <w:rPr>
      <w:color w:val="000000"/>
      <w:lang w:eastAsia="ru-RU"/>
    </w:rPr>
  </w:style>
  <w:style w:type="paragraph" w:styleId="aa">
    <w:name w:val="List Paragraph"/>
    <w:basedOn w:val="Standard"/>
    <w:qFormat/>
    <w:rsid w:val="000C6A54"/>
    <w:pPr>
      <w:suppressAutoHyphens w:val="0"/>
      <w:ind w:left="708"/>
    </w:pPr>
    <w:rPr>
      <w:lang w:eastAsia="ru-RU"/>
    </w:rPr>
  </w:style>
  <w:style w:type="numbering" w:customStyle="1" w:styleId="WWNum16">
    <w:name w:val="WWNum16"/>
    <w:basedOn w:val="a4"/>
    <w:rsid w:val="000C6A5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Мусина Юлия Александровна</dc:creator>
  <cp:keywords/>
  <dc:description/>
  <cp:lastModifiedBy>Маравин Игнат Алексеевич</cp:lastModifiedBy>
  <cp:revision>8</cp:revision>
  <dcterms:created xsi:type="dcterms:W3CDTF">2021-04-13T11:04:00Z</dcterms:created>
  <dcterms:modified xsi:type="dcterms:W3CDTF">2021-06-09T07:33:00Z</dcterms:modified>
</cp:coreProperties>
</file>