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616"/>
        <w:gridCol w:w="1843"/>
        <w:gridCol w:w="1842"/>
        <w:gridCol w:w="4395"/>
        <w:gridCol w:w="1559"/>
        <w:gridCol w:w="1701"/>
      </w:tblGrid>
      <w:tr w:rsidR="00E524BE" w:rsidRPr="003A6E37" w:rsidTr="00272B1D">
        <w:trPr>
          <w:trHeight w:val="23"/>
        </w:trPr>
        <w:tc>
          <w:tcPr>
            <w:tcW w:w="13320" w:type="dxa"/>
            <w:gridSpan w:val="7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технических средств реабилитации – подгузников </w:t>
            </w:r>
            <w:r w:rsidR="0086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обеспечения инвалидов в 2021</w:t>
            </w: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24BE" w:rsidRPr="00213158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524BE" w:rsidRPr="003A6E37" w:rsidRDefault="00E524BE" w:rsidP="00E524BE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E524BE" w:rsidRPr="003A6E37" w:rsidRDefault="00E524BE" w:rsidP="00E524B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E524BE" w:rsidRPr="003936E4" w:rsidRDefault="00E524BE" w:rsidP="00E52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</w:tr>
      <w:tr w:rsidR="00E524BE" w:rsidRPr="003A6E37" w:rsidTr="000C3B2A">
        <w:trPr>
          <w:trHeight w:val="1480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3A6E37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395" w:type="dxa"/>
            <w:vMerge/>
          </w:tcPr>
          <w:p w:rsidR="00E524BE" w:rsidRPr="003936E4" w:rsidRDefault="00E524BE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Merge w:val="restart"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Pr="003A6E37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  <w:r w:rsidRPr="00E52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(значение показателей не изменяются)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18,63</w:t>
            </w:r>
          </w:p>
        </w:tc>
      </w:tr>
      <w:tr w:rsidR="00E524BE" w:rsidRPr="003A6E37" w:rsidTr="00272B1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19,48</w:t>
            </w:r>
          </w:p>
        </w:tc>
      </w:tr>
      <w:tr w:rsidR="00E524BE" w:rsidRPr="003A6E37" w:rsidTr="00272B1D">
        <w:trPr>
          <w:trHeight w:val="1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259842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22,77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4D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22,31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Default="00E524BE" w:rsidP="00E524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0C3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24,76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22,84</w:t>
            </w:r>
          </w:p>
        </w:tc>
      </w:tr>
      <w:tr w:rsidR="00E524BE" w:rsidRPr="003A6E37" w:rsidTr="00272B1D">
        <w:trPr>
          <w:trHeight w:val="4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826E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27,04</w:t>
            </w:r>
          </w:p>
        </w:tc>
      </w:tr>
      <w:tr w:rsidR="00E524BE" w:rsidRPr="00A95A99" w:rsidTr="00272B1D">
        <w:trPr>
          <w:trHeight w:val="401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BE" w:rsidRDefault="008826EC" w:rsidP="008826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Итого: 668 613</w:t>
            </w:r>
            <w:r w:rsidR="004D1C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14 721 470</w:t>
            </w:r>
            <w:r w:rsidR="004D1C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коп.</w:t>
            </w:r>
          </w:p>
        </w:tc>
      </w:tr>
      <w:tr w:rsidR="00272B1D" w:rsidRPr="003A6E37" w:rsidTr="00272B1D">
        <w:trPr>
          <w:trHeight w:val="2653"/>
        </w:trPr>
        <w:tc>
          <w:tcPr>
            <w:tcW w:w="15021" w:type="dxa"/>
            <w:gridSpan w:val="8"/>
          </w:tcPr>
          <w:p w:rsidR="00272B1D" w:rsidRPr="00E524B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- далее Товар, (Национальный стандарт РФ ГОСТ Р ИСО 9999-2019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на  ГОСТ</w:t>
            </w:r>
            <w:proofErr w:type="gramEnd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u w:val="single"/>
                <w:lang w:eastAsia="ru-RU"/>
              </w:rPr>
              <w:t>НЕ ИЗМЕНЯЮТСЯ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«5.2 Требования к конструкции подгузников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верхний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распределительный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защитный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нижний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барьерные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фиксирующие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«5.5 Требования к внешнему виду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«5.7 Для изготовления подгузников применяют следующие материалы: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E524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3E1156" wp14:editId="6F2BCE94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8E98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 25,0 г из целлюлозы и древесной массы: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защитного слоя: полимерную пленку толщиной не более 30 мкм.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272B1D" w:rsidRPr="00E524BE" w:rsidRDefault="00272B1D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272B1D" w:rsidRPr="00E524BE" w:rsidRDefault="00272B1D" w:rsidP="00E5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2800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4,4 </w:t>
                  </w:r>
                </w:p>
              </w:tc>
            </w:tr>
            <w:tr w:rsidR="00272B1D" w:rsidRPr="00E524B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Скорость впитывания, см</w:t>
                  </w:r>
                  <w:r w:rsidRPr="00E524BE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EA108C3" wp14:editId="02DA0A91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9C16A8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826EC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</w:tr>
          </w:tbl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 Маркировка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штриховой код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«5.12 Упаковка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5.12.1 Швы в пакетах из полимерной пленки должны быть заварены.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72B1D" w:rsidRPr="00E524BE" w:rsidRDefault="00272B1D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272B1D" w:rsidRPr="00E524BE" w:rsidRDefault="00272B1D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vitro</w:t>
            </w:r>
            <w:proofErr w:type="spellEnd"/>
            <w:proofErr w:type="gram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;</w:t>
            </w:r>
            <w:proofErr w:type="gramEnd"/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62119A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272B1D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2B1D"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62119A" w:rsidRPr="0062119A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Технические требования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272B1D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(при наличии).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272B1D" w:rsidRPr="00E34262" w:rsidRDefault="00272B1D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Срок поставки Товара: с даты получения от Заказчика реестра Получателей Товара до </w:t>
            </w:r>
            <w:r w:rsidR="00723889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27.10</w:t>
            </w:r>
            <w:r w:rsidR="0066112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.2021</w:t>
            </w: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года.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4262">
              <w:rPr>
                <w:rFonts w:ascii="Times New Roman" w:eastAsia="Calibri" w:hAnsi="Times New Roman" w:cs="Times New Roman"/>
              </w:rPr>
              <w:t>Место доставки Товара: г. Киров Кировской области и Кировская область, с доставкой по месту жительства Получателя</w:t>
            </w:r>
            <w:r w:rsidR="00723889">
              <w:rPr>
                <w:rFonts w:ascii="Times New Roman" w:eastAsia="Calibri" w:hAnsi="Times New Roman" w:cs="Times New Roman"/>
              </w:rPr>
              <w:t xml:space="preserve">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(месту пребы</w:t>
            </w:r>
            <w:r w:rsidR="004D1C9C">
              <w:rPr>
                <w:rFonts w:ascii="Times New Roman" w:eastAsia="Times New Roman" w:hAnsi="Times New Roman" w:cs="Times New Roman"/>
                <w:lang w:eastAsia="ru-RU"/>
              </w:rPr>
              <w:t xml:space="preserve">вания, фактического проживания),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="00723889" w:rsidRPr="0072388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34262">
              <w:rPr>
                <w:rFonts w:ascii="Times New Roman" w:eastAsia="Calibri" w:hAnsi="Times New Roman" w:cs="Times New Roman"/>
              </w:rPr>
              <w:t xml:space="preserve"> либо в пункты выдачи Товара</w:t>
            </w:r>
            <w:r w:rsidR="00723889">
              <w:rPr>
                <w:rFonts w:ascii="Times New Roman" w:eastAsia="Calibri" w:hAnsi="Times New Roman" w:cs="Times New Roman"/>
              </w:rPr>
              <w:t>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</w:t>
            </w:r>
            <w:r w:rsidR="00723889">
              <w:rPr>
                <w:rFonts w:ascii="Times New Roman" w:eastAsia="Calibri" w:hAnsi="Times New Roman" w:cs="Times New Roman"/>
                <w:sz w:val="20"/>
                <w:szCs w:val="20"/>
              </w:rPr>
              <w:t>алидов в Российской Федерации»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72B1D" w:rsidRPr="00E34262" w:rsidRDefault="00272B1D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</w:t>
            </w:r>
            <w:r w:rsidR="0088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08.02.2017 </w:t>
            </w:r>
            <w:bookmarkStart w:id="0" w:name="_GoBack"/>
            <w:bookmarkEnd w:id="0"/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72B1D" w:rsidRPr="00831A6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E524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C3B2A"/>
    <w:rsid w:val="001627DE"/>
    <w:rsid w:val="001E4E10"/>
    <w:rsid w:val="00272B1D"/>
    <w:rsid w:val="002852F5"/>
    <w:rsid w:val="00341431"/>
    <w:rsid w:val="003936E4"/>
    <w:rsid w:val="003A6E37"/>
    <w:rsid w:val="004D1C9C"/>
    <w:rsid w:val="004F5812"/>
    <w:rsid w:val="0062119A"/>
    <w:rsid w:val="00661123"/>
    <w:rsid w:val="00723889"/>
    <w:rsid w:val="00770176"/>
    <w:rsid w:val="00831A6E"/>
    <w:rsid w:val="00864FF6"/>
    <w:rsid w:val="008826EC"/>
    <w:rsid w:val="008926EE"/>
    <w:rsid w:val="009556AD"/>
    <w:rsid w:val="00A95A99"/>
    <w:rsid w:val="00B30750"/>
    <w:rsid w:val="00B86F13"/>
    <w:rsid w:val="00C04BEF"/>
    <w:rsid w:val="00C1252E"/>
    <w:rsid w:val="00D045BB"/>
    <w:rsid w:val="00D46E78"/>
    <w:rsid w:val="00D7311C"/>
    <w:rsid w:val="00DD3747"/>
    <w:rsid w:val="00E34262"/>
    <w:rsid w:val="00E524BE"/>
    <w:rsid w:val="00F20A82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8CF4-A9EC-49B4-B48E-26B6C7B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25</cp:revision>
  <cp:lastPrinted>2020-10-26T05:52:00Z</cp:lastPrinted>
  <dcterms:created xsi:type="dcterms:W3CDTF">2019-11-20T08:01:00Z</dcterms:created>
  <dcterms:modified xsi:type="dcterms:W3CDTF">2021-06-17T13:09:00Z</dcterms:modified>
</cp:coreProperties>
</file>