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1E" w:rsidRPr="00B16937" w:rsidRDefault="00232A1E" w:rsidP="00E0253E">
      <w:pPr>
        <w:pStyle w:val="7"/>
        <w:jc w:val="center"/>
        <w:rPr>
          <w:rFonts w:eastAsiaTheme="minorHAnsi"/>
          <w:bCs w:val="0"/>
          <w:sz w:val="22"/>
          <w:szCs w:val="22"/>
          <w:lang w:eastAsia="en-US"/>
        </w:rPr>
      </w:pPr>
      <w:r w:rsidRPr="00B16937">
        <w:rPr>
          <w:rFonts w:eastAsiaTheme="minorHAnsi"/>
          <w:bCs w:val="0"/>
          <w:sz w:val="22"/>
          <w:szCs w:val="22"/>
          <w:lang w:eastAsia="en-US"/>
        </w:rPr>
        <w:t>Техническое задание</w:t>
      </w:r>
    </w:p>
    <w:p w:rsidR="00E0253E" w:rsidRPr="00B16937" w:rsidRDefault="00232A1E" w:rsidP="00B16937">
      <w:pPr>
        <w:keepNext/>
        <w:keepLines/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6937">
        <w:rPr>
          <w:rFonts w:ascii="Times New Roman" w:hAnsi="Times New Roman" w:cs="Times New Roman"/>
          <w:b/>
          <w:bCs/>
        </w:rPr>
        <w:t>Технические требования на поставку</w:t>
      </w:r>
      <w:r w:rsidRPr="00B16937">
        <w:rPr>
          <w:rFonts w:ascii="Times New Roman" w:hAnsi="Times New Roman" w:cs="Times New Roman"/>
          <w:b/>
        </w:rPr>
        <w:t xml:space="preserve"> специальных средств при нарушениях фу</w:t>
      </w:r>
      <w:r w:rsidR="006B64C3" w:rsidRPr="00B16937">
        <w:rPr>
          <w:rFonts w:ascii="Times New Roman" w:hAnsi="Times New Roman" w:cs="Times New Roman"/>
          <w:b/>
        </w:rPr>
        <w:t xml:space="preserve">нкций выделения </w:t>
      </w:r>
      <w:r w:rsidRPr="00B16937">
        <w:rPr>
          <w:rFonts w:ascii="Times New Roman" w:hAnsi="Times New Roman" w:cs="Times New Roman"/>
          <w:b/>
        </w:rPr>
        <w:t>для обеспечения</w:t>
      </w:r>
    </w:p>
    <w:p w:rsidR="00232A1E" w:rsidRPr="00B16937" w:rsidRDefault="00E43A19" w:rsidP="00E0253E">
      <w:pPr>
        <w:keepNext/>
        <w:keepLines/>
        <w:tabs>
          <w:tab w:val="left" w:pos="708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B16937">
        <w:rPr>
          <w:rFonts w:ascii="Times New Roman" w:hAnsi="Times New Roman" w:cs="Times New Roman"/>
          <w:b/>
        </w:rPr>
        <w:t>инвалидов в 2021</w:t>
      </w:r>
      <w:r w:rsidR="00232A1E" w:rsidRPr="00B16937">
        <w:rPr>
          <w:rFonts w:ascii="Times New Roman" w:hAnsi="Times New Roman" w:cs="Times New Roman"/>
          <w:b/>
        </w:rPr>
        <w:t xml:space="preserve"> году.</w:t>
      </w:r>
    </w:p>
    <w:tbl>
      <w:tblPr>
        <w:tblStyle w:val="a3"/>
        <w:tblW w:w="13878" w:type="dxa"/>
        <w:tblInd w:w="-562" w:type="dxa"/>
        <w:tblLayout w:type="fixed"/>
        <w:tblLook w:val="04A0" w:firstRow="1" w:lastRow="0" w:firstColumn="1" w:lastColumn="0" w:noHBand="0" w:noVBand="1"/>
      </w:tblPr>
      <w:tblGrid>
        <w:gridCol w:w="1559"/>
        <w:gridCol w:w="1081"/>
        <w:gridCol w:w="5298"/>
        <w:gridCol w:w="3488"/>
        <w:gridCol w:w="847"/>
        <w:gridCol w:w="1605"/>
      </w:tblGrid>
      <w:tr w:rsidR="00D17D97" w:rsidTr="00D17D97">
        <w:tc>
          <w:tcPr>
            <w:tcW w:w="1559" w:type="dxa"/>
          </w:tcPr>
          <w:p w:rsidR="00D17D97" w:rsidRPr="003E577A" w:rsidRDefault="00D17D97" w:rsidP="00232A1E">
            <w:pPr>
              <w:pStyle w:val="1"/>
              <w:keepNext/>
              <w:keepLines/>
              <w:widowControl/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1254CB">
              <w:rPr>
                <w:sz w:val="16"/>
                <w:szCs w:val="16"/>
              </w:rPr>
              <w:t>Наименование Товара (по 86 н) (Наименование по КТРУ)</w:t>
            </w:r>
          </w:p>
        </w:tc>
        <w:tc>
          <w:tcPr>
            <w:tcW w:w="1081" w:type="dxa"/>
          </w:tcPr>
          <w:p w:rsidR="00D17D97" w:rsidRPr="003E577A" w:rsidRDefault="00D17D97" w:rsidP="00426B8D">
            <w:pPr>
              <w:keepNext/>
              <w:keepLines/>
              <w:ind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КТРУ/ОКПД 2</w:t>
            </w:r>
          </w:p>
        </w:tc>
        <w:tc>
          <w:tcPr>
            <w:tcW w:w="8786" w:type="dxa"/>
            <w:gridSpan w:val="2"/>
          </w:tcPr>
          <w:p w:rsidR="00D17D97" w:rsidRPr="003E577A" w:rsidRDefault="00D17D97" w:rsidP="00232A1E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847" w:type="dxa"/>
          </w:tcPr>
          <w:p w:rsidR="00D17D97" w:rsidRPr="003E577A" w:rsidRDefault="00D17D97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605" w:type="dxa"/>
          </w:tcPr>
          <w:p w:rsidR="00D17D97" w:rsidRPr="003E577A" w:rsidRDefault="00D17D97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D17D97" w:rsidTr="00D17D97">
        <w:tc>
          <w:tcPr>
            <w:tcW w:w="1559" w:type="dxa"/>
          </w:tcPr>
          <w:p w:rsidR="00D17D97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21-01-34</w:t>
            </w:r>
          </w:p>
          <w:p w:rsidR="00D17D97" w:rsidRPr="00DE4EB4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Защитная пленка в форме салфеток, не менее 30 штук </w:t>
            </w:r>
          </w:p>
        </w:tc>
        <w:tc>
          <w:tcPr>
            <w:tcW w:w="1081" w:type="dxa"/>
          </w:tcPr>
          <w:p w:rsidR="00D17D97" w:rsidRPr="00DA79F7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79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</w:t>
            </w:r>
          </w:p>
          <w:p w:rsidR="00D17D97" w:rsidRPr="00DA79F7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98" w:type="dxa"/>
          </w:tcPr>
          <w:p w:rsidR="00D17D97" w:rsidRPr="00DE4EB4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Защитная пленка для кожи: вещество для защиты кожи вокруг </w:t>
            </w:r>
            <w:proofErr w:type="spellStart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стомы</w:t>
            </w:r>
            <w:proofErr w:type="spellEnd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адгезивов</w:t>
            </w:r>
            <w:proofErr w:type="spellEnd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D17D97" w:rsidRDefault="00D17D97" w:rsidP="00B16937">
            <w:pPr>
              <w:keepNext/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 нанесении и высыхании должно образовывать полупроводящую эластичную защитную пленку, устойчивую к воздействию воды. Форма выпуска: салфетки на силиконовой или спиртовой основе.  Предназначены для однократного применения. Индивидуальная упаковка каждой салфетки.</w:t>
            </w:r>
          </w:p>
          <w:p w:rsidR="00D17D97" w:rsidRPr="00DE4EB4" w:rsidRDefault="00D17D97" w:rsidP="00B16937">
            <w:pPr>
              <w:keepNext/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88" w:type="dxa"/>
            <w:vMerge w:val="restart"/>
          </w:tcPr>
          <w:p w:rsidR="00D17D97" w:rsidRPr="00A27BCF" w:rsidRDefault="00D17D97" w:rsidP="00B1693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Специальные средства при нарушениях функций выделения должны соответствовать требованиям национального стандарта Российской Федерации «Изделия медицинские. Оценка биологического действия медицинских изделий», ГОСТ Р ИСО 10993-1-2011, ГОСТ Р ИСО 10993-5-2011, ГОСТ Р ИСО 10993-10-2011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</w:t>
            </w:r>
            <w:proofErr w:type="spellStart"/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пирогенность</w:t>
            </w:r>
            <w:proofErr w:type="spellEnd"/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», ГОСТ Р 58235-2018 «Специальные средства при нарушении функции выделения. Термины и определения. Классификация» и ГОСТ Р 58237-2018 «Средства ухода за кишечными </w:t>
            </w:r>
            <w:proofErr w:type="spellStart"/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стомами</w:t>
            </w:r>
            <w:proofErr w:type="spellEnd"/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стомы</w:t>
            </w:r>
            <w:proofErr w:type="spellEnd"/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Характеристики и основные требования. Методы испытаний», а в части наименования технических сре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дств реабилитации приказ Минист</w:t>
            </w: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ерства труда и социальной защиты Российской Федерации от 13 февраля 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№2347-р».</w:t>
            </w:r>
          </w:p>
          <w:p w:rsidR="00D17D97" w:rsidRPr="00A27BCF" w:rsidRDefault="00D17D97" w:rsidP="00B1693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изделия должны быть разработаны, изготовлены и упакованы таким образом, чтобы их технические характеристики и эксплуатационные свойства в период использования по назначению не испытывали вредного воздействия при транспортировании и хранении изделий;</w:t>
            </w:r>
          </w:p>
          <w:p w:rsidR="00D17D97" w:rsidRPr="00A27BCF" w:rsidRDefault="00D17D97" w:rsidP="00B1693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изделия должны быть снабжены этикеткой (маркировкой), информирующей пользователя об изготовителе, области применения продукции, о сроках хранения, а также предупреждающей о мерах безопасности при эксплуатации;</w:t>
            </w:r>
          </w:p>
          <w:p w:rsidR="00D17D97" w:rsidRPr="00A27BCF" w:rsidRDefault="00D17D97" w:rsidP="00B1693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хранение должно осуществляться в соответствии с требованиями, предъявляемыми к данной категории изделий;</w:t>
            </w:r>
          </w:p>
          <w:p w:rsidR="00D17D97" w:rsidRPr="00A27BCF" w:rsidRDefault="00D17D97" w:rsidP="00B1693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      </w:r>
          </w:p>
          <w:p w:rsidR="00D17D97" w:rsidRPr="00A27BCF" w:rsidRDefault="00D17D97" w:rsidP="00B1693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</w:t>
            </w: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к месту использования по назначению.</w:t>
            </w:r>
          </w:p>
          <w:p w:rsidR="00D17D97" w:rsidRPr="00A27BCF" w:rsidRDefault="00D17D97" w:rsidP="00B1693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D17D97" w:rsidRPr="00A27BCF" w:rsidRDefault="00D17D97" w:rsidP="00B1693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Вся информация на упаковке должна быть представлена на русском языке.</w:t>
            </w:r>
          </w:p>
          <w:p w:rsidR="00D17D97" w:rsidRPr="00A27BCF" w:rsidRDefault="00D17D97" w:rsidP="00B1693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 маркировке и упаковке должна быть в наглядной и доступной форме </w:t>
            </w:r>
            <w:r w:rsidRPr="006D26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представлена необходимая</w:t>
            </w: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достоверная информация о товарах и их изготовителях, обеспечивающую возможность правильного выбора товаров.</w:t>
            </w:r>
          </w:p>
          <w:p w:rsidR="00D17D97" w:rsidRPr="00A27BCF" w:rsidRDefault="00D17D97" w:rsidP="00B1693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Информация в обязательном порядке должна содержать:</w:t>
            </w:r>
          </w:p>
          <w:p w:rsidR="00D17D97" w:rsidRPr="00A27BCF" w:rsidRDefault="00D17D97" w:rsidP="00B1693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наименование товара;</w:t>
            </w:r>
          </w:p>
          <w:p w:rsidR="00D17D97" w:rsidRPr="00A27BCF" w:rsidRDefault="00D17D97" w:rsidP="00B1693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место нахождения (адрес), фирменное наименование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– наименование страны происхождения товара;</w:t>
            </w:r>
          </w:p>
          <w:p w:rsidR="00D17D97" w:rsidRPr="00A27BCF" w:rsidRDefault="00D17D97" w:rsidP="00B1693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      </w:r>
          </w:p>
          <w:p w:rsidR="00D17D97" w:rsidRPr="00A27BCF" w:rsidRDefault="00D17D97" w:rsidP="00B1693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основных потребительских свойствах товара;</w:t>
            </w:r>
          </w:p>
          <w:p w:rsidR="00D17D97" w:rsidRPr="00A27BCF" w:rsidRDefault="00D17D97" w:rsidP="00B1693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правила и условия эффективного и безопас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ного использования товара (</w:t>
            </w: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инструкция по применению);</w:t>
            </w:r>
          </w:p>
          <w:p w:rsidR="00D17D97" w:rsidRPr="00A27BCF" w:rsidRDefault="00D17D97" w:rsidP="00B1693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      </w:r>
          </w:p>
          <w:p w:rsidR="00D17D97" w:rsidRPr="00A27BCF" w:rsidRDefault="00D17D97" w:rsidP="00B1693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также, с учетом особенностей конкретного вида товара, сведения о его назначении, способе и условиях применения, действии и оказываемом эффекте, ограничениях (противопоказаниях) для применения;</w:t>
            </w:r>
          </w:p>
          <w:p w:rsidR="00D17D97" w:rsidRPr="00A27BCF" w:rsidRDefault="00D17D97" w:rsidP="00B1693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не допускается применение изделий, если нарушена упаковка;</w:t>
            </w:r>
          </w:p>
          <w:p w:rsidR="00D17D97" w:rsidRPr="00A27BCF" w:rsidRDefault="00D17D97" w:rsidP="00B1693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сведения об утилизации изделий могут быть указаны в инструкциях по применению изделий или другой документации, прилагаемой к изделию.</w:t>
            </w:r>
          </w:p>
          <w:p w:rsidR="00D17D97" w:rsidRPr="00A27BCF" w:rsidRDefault="00D17D97" w:rsidP="00B16937">
            <w:pPr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Качество Товара должно подтверждаться Декларацией 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соответствии либо сертификатом (при наличии).</w:t>
            </w:r>
          </w:p>
          <w:p w:rsidR="00D17D97" w:rsidRPr="00A27BCF" w:rsidRDefault="00D17D97" w:rsidP="00B16937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Документом, подтверждающим факт государственной регистрации медицинского изделия, является регистрационное удостоверение, выданное в соответствии со ст. 38 Федерального закона от 21.11.2011 № 323-ФЗ.</w:t>
            </w:r>
          </w:p>
          <w:p w:rsidR="00D17D97" w:rsidRPr="00A27BCF" w:rsidRDefault="00D17D97" w:rsidP="00B16937">
            <w:pPr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Технические характеристики и эксплуатационные свойства изделия не должны оказывать такое вредное воздействие, которое подвергало бы риску безопасность пользователя или других лиц в течение срока </w:t>
            </w:r>
            <w:r w:rsidRPr="006D26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службы изделия, указанного изготовителем, при эксплуатации в соответствии с инструкцией изготовителя.</w:t>
            </w:r>
          </w:p>
          <w:p w:rsidR="00D17D97" w:rsidRPr="003E577A" w:rsidRDefault="00D17D97" w:rsidP="00B16937">
            <w:pPr>
              <w:keepNext/>
              <w:keepLines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</w:tcPr>
          <w:p w:rsidR="00D17D97" w:rsidRPr="00DE4EB4" w:rsidRDefault="00D17D97" w:rsidP="00B16937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шт.</w:t>
            </w:r>
          </w:p>
        </w:tc>
        <w:tc>
          <w:tcPr>
            <w:tcW w:w="1605" w:type="dxa"/>
          </w:tcPr>
          <w:p w:rsidR="00D17D97" w:rsidRPr="0012418B" w:rsidRDefault="00D17D97" w:rsidP="00B16937">
            <w:pPr>
              <w:pStyle w:val="11"/>
              <w:keepNext w:val="0"/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9 000</w:t>
            </w:r>
          </w:p>
        </w:tc>
      </w:tr>
      <w:tr w:rsidR="00D17D97" w:rsidTr="00D17D97">
        <w:tc>
          <w:tcPr>
            <w:tcW w:w="1559" w:type="dxa"/>
          </w:tcPr>
          <w:p w:rsidR="00D17D97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21-01-13</w:t>
            </w:r>
          </w:p>
          <w:p w:rsidR="00D17D97" w:rsidRPr="00DE4EB4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Пояс для калоприемников и уроприемников</w:t>
            </w:r>
          </w:p>
          <w:p w:rsidR="00D17D97" w:rsidRPr="00DE4EB4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1" w:type="dxa"/>
          </w:tcPr>
          <w:p w:rsidR="00D17D97" w:rsidRPr="00DA79F7" w:rsidRDefault="00D17D97" w:rsidP="00B16937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DA79F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32.50.13.190-00006908/</w:t>
            </w:r>
          </w:p>
          <w:p w:rsidR="00D17D97" w:rsidRPr="00DA79F7" w:rsidRDefault="00D17D97" w:rsidP="00B16937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DA79F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32.50.50.149</w:t>
            </w:r>
          </w:p>
          <w:p w:rsidR="00D17D97" w:rsidRPr="00DA79F7" w:rsidRDefault="00D17D97" w:rsidP="00B16937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98" w:type="dxa"/>
          </w:tcPr>
          <w:p w:rsidR="00D17D97" w:rsidRPr="00DE4EB4" w:rsidRDefault="00D17D97" w:rsidP="00B16937">
            <w:pPr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Пояс для калоприемников и </w:t>
            </w:r>
            <w:proofErr w:type="spellStart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уроприемников</w:t>
            </w:r>
            <w:proofErr w:type="spellEnd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устройство, обеспечивающее дополнительную надежность крепления калоприемников и уроприемников на теле.</w:t>
            </w:r>
          </w:p>
          <w:p w:rsidR="00D17D97" w:rsidRDefault="00D17D97" w:rsidP="00B16937">
            <w:pPr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Нестерильный эластичный пояс для дополнительной фиксации калоприемников и уроприемников, регулируемый по длине со специальными крепежами для крепления к пластине или мешку калоприемника (уроприемника). </w:t>
            </w:r>
          </w:p>
          <w:p w:rsidR="00D17D97" w:rsidRPr="00DE4EB4" w:rsidRDefault="00D17D97" w:rsidP="00B16937">
            <w:pPr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88" w:type="dxa"/>
            <w:vMerge/>
          </w:tcPr>
          <w:p w:rsidR="00D17D97" w:rsidRPr="00A27BCF" w:rsidRDefault="00D17D97" w:rsidP="00B16937">
            <w:pPr>
              <w:keepNext/>
              <w:keepLines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Pr="00DE4EB4" w:rsidRDefault="00D17D97" w:rsidP="00B16937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Pr="00DE4EB4" w:rsidRDefault="00D17D97" w:rsidP="00B1693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</w:tr>
      <w:tr w:rsidR="00D17D97" w:rsidTr="00D17D9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21-01-17</w:t>
            </w:r>
          </w:p>
          <w:p w:rsidR="00D17D97" w:rsidRPr="00DE4EB4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Pr="00DA79F7" w:rsidRDefault="00D17D97" w:rsidP="00B16937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DA79F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32.50.13.190-00006909/</w:t>
            </w:r>
          </w:p>
          <w:p w:rsidR="00D17D97" w:rsidRPr="00DA79F7" w:rsidRDefault="00D17D97" w:rsidP="00B16937">
            <w:pPr>
              <w:keepNext/>
              <w:widowControl w:val="0"/>
              <w:tabs>
                <w:tab w:val="left" w:pos="708"/>
              </w:tabs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79F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32.50.50.149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17D97" w:rsidRPr="00DE4EB4" w:rsidRDefault="00D17D97" w:rsidP="00B16937">
            <w:pPr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Пара эластичных ремешков должна быть предназначена для крепления мочеприемников (мешков для сбора мочи) на ноге, регулироваться по длине.</w:t>
            </w:r>
          </w:p>
        </w:tc>
        <w:tc>
          <w:tcPr>
            <w:tcW w:w="3488" w:type="dxa"/>
            <w:vMerge/>
          </w:tcPr>
          <w:p w:rsidR="00D17D97" w:rsidRDefault="00D17D97" w:rsidP="00B16937"/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Pr="00DE4EB4" w:rsidRDefault="00D17D97" w:rsidP="00B16937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Pr="0012418B" w:rsidRDefault="00D17D97" w:rsidP="00B16937">
            <w:pPr>
              <w:pStyle w:val="11"/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4 700</w:t>
            </w:r>
          </w:p>
        </w:tc>
      </w:tr>
      <w:tr w:rsidR="00D17D97" w:rsidTr="00D17D9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21-01-22</w:t>
            </w:r>
          </w:p>
          <w:p w:rsidR="00D17D97" w:rsidRPr="00DE4EB4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Катетер уретральный длительного пользования.</w:t>
            </w:r>
          </w:p>
          <w:p w:rsidR="00D17D97" w:rsidRPr="00DE4EB4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(Катетер уретральный постоянный для дренажа/промывания)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Pr="00DA79F7" w:rsidRDefault="00D17D97" w:rsidP="00B16937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DA79F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32.50.13.190-00006893/</w:t>
            </w:r>
          </w:p>
          <w:p w:rsidR="00D17D97" w:rsidRPr="00DA79F7" w:rsidRDefault="00D17D97" w:rsidP="00B16937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DA79F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32.50.50.149</w:t>
            </w:r>
          </w:p>
          <w:p w:rsidR="00D17D97" w:rsidRPr="00DA79F7" w:rsidRDefault="00D17D97" w:rsidP="00B16937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17D97" w:rsidRDefault="00D17D97" w:rsidP="00B16937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Катетер уретральный длительного пользования, устанавливаемый в мочеиспускательный канал для отведения мочи из мочевого пузыря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</w:t>
            </w: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Должен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быть двухходовым (с одним ходом для раздувания баллона, вторым для присоединения к мешку-мочеприемнику) баллонным (баллон служит для удержания катетера внутри мочевого пузыря). Для длительного использования. Каждый катетер должен находиться в индивидуальной упаковке.  Все размеры диапазона от СН 6 по СН 30. Размер катетера: в зависимости от потребности Получателя. Не менее 13 типоразмеров.</w:t>
            </w:r>
          </w:p>
          <w:p w:rsidR="00D17D97" w:rsidRPr="00DE4EB4" w:rsidRDefault="00D17D97" w:rsidP="00B16937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88" w:type="dxa"/>
            <w:vMerge/>
          </w:tcPr>
          <w:p w:rsidR="00D17D97" w:rsidRDefault="00D17D97" w:rsidP="00B16937"/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Pr="00DE4EB4" w:rsidRDefault="00D17D97" w:rsidP="00B16937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  <w:p w:rsidR="00D17D97" w:rsidRPr="00DE4EB4" w:rsidRDefault="00D17D97" w:rsidP="00B16937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Default="00D17D97" w:rsidP="00B16937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</w:tr>
      <w:tr w:rsidR="00D17D97" w:rsidTr="00D17D9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21-01-33</w:t>
            </w:r>
          </w:p>
          <w:p w:rsidR="00D17D97" w:rsidRPr="00DE4EB4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Защитная пленка во флаконе, не менее 50 мл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Pr="00DA79F7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79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</w:t>
            </w:r>
          </w:p>
          <w:p w:rsidR="00D17D97" w:rsidRPr="00DA79F7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17D97" w:rsidRPr="00DE4EB4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Защитная пленка для кожи: вещество на силиконовой основе для защиты кожи вокруг стомы и кожи промежности от агрессивного воздействия мочи и кала, а также от механических повреждений при отклеивании адгезивов.</w:t>
            </w:r>
          </w:p>
          <w:p w:rsidR="00D17D97" w:rsidRPr="00DE4EB4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 нанесении и высыхании должно образовывать полупроводящую эластичную защитную пленку, устойчивую к воздействию воды. </w:t>
            </w:r>
          </w:p>
          <w:p w:rsidR="00D17D97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 флакона должен быть не менее 50 мл.</w:t>
            </w:r>
          </w:p>
          <w:p w:rsidR="00D17D97" w:rsidRPr="00DE4EB4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88" w:type="dxa"/>
            <w:vMerge/>
          </w:tcPr>
          <w:p w:rsidR="00D17D97" w:rsidRDefault="00D17D97" w:rsidP="00B16937"/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Pr="00DE4EB4" w:rsidRDefault="00D17D97" w:rsidP="00B16937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Default="00D17D97" w:rsidP="00B16937">
            <w:pPr>
              <w:pStyle w:val="11"/>
              <w:keepNext w:val="0"/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</w:t>
            </w:r>
          </w:p>
        </w:tc>
      </w:tr>
      <w:tr w:rsidR="00D17D97" w:rsidTr="00D17D9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21-01-32</w:t>
            </w:r>
          </w:p>
          <w:p w:rsidR="00D17D97" w:rsidRPr="00DE4EB4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Пудра (порошок) абсорбирующая в тубе, не менее 25 г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Pr="00DA79F7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79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</w:t>
            </w:r>
          </w:p>
          <w:p w:rsidR="00D17D97" w:rsidRPr="00DA79F7" w:rsidRDefault="00D17D97" w:rsidP="00B16937">
            <w:pPr>
              <w:keepNext/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17D97" w:rsidRPr="00DE4EB4" w:rsidRDefault="00D17D97" w:rsidP="00B16937">
            <w:pPr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Пудра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абсорбирующая (порошок): мелкодисперсное абсорбирующее средство для ухода за мокнущей кожей вокруг стомы должно впитывать влагу, создавать поверхность, на которую можно приклеить пластину или калоприёмник. Порошок должен являться хорошим абсорбентом и эффективно поглощать избыточную влагу.</w:t>
            </w:r>
          </w:p>
          <w:p w:rsidR="00D17D97" w:rsidRDefault="00D17D97" w:rsidP="00B16937">
            <w:pPr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Форма выпуска: туба, вес </w:t>
            </w: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 менее 25 г. </w:t>
            </w:r>
          </w:p>
          <w:p w:rsidR="00D17D97" w:rsidRPr="00DE4EB4" w:rsidRDefault="00D17D97" w:rsidP="00B16937">
            <w:pPr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88" w:type="dxa"/>
            <w:vMerge/>
          </w:tcPr>
          <w:p w:rsidR="00D17D97" w:rsidRDefault="00D17D97" w:rsidP="00B16937"/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Pr="00DE4EB4" w:rsidRDefault="00D17D97" w:rsidP="00B16937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Pr="0012418B" w:rsidRDefault="00D17D97" w:rsidP="00B16937">
            <w:pPr>
              <w:pStyle w:val="11"/>
              <w:keepNext w:val="0"/>
              <w:widowControl w:val="0"/>
              <w:tabs>
                <w:tab w:val="left" w:pos="70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</w:tr>
      <w:tr w:rsidR="00D17D97" w:rsidTr="00D17D9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21-01-29</w:t>
            </w:r>
          </w:p>
          <w:p w:rsidR="00D17D97" w:rsidRPr="00DE4EB4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Паста – герметик для защиты и выравнивания кожи вокруг стомы в тубе, не менее 60 г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Pr="00DA79F7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79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</w:t>
            </w:r>
          </w:p>
          <w:p w:rsidR="00D17D97" w:rsidRPr="00DA79F7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17D97" w:rsidRDefault="00D17D97" w:rsidP="00B16937">
            <w:pPr>
              <w:pStyle w:val="a8"/>
              <w:widowControl w:val="0"/>
              <w:tabs>
                <w:tab w:val="left" w:pos="708"/>
              </w:tabs>
              <w:contextualSpacing/>
              <w:rPr>
                <w:sz w:val="14"/>
                <w:szCs w:val="14"/>
              </w:rPr>
            </w:pPr>
            <w:r w:rsidRPr="00A453F9">
              <w:rPr>
                <w:sz w:val="14"/>
                <w:szCs w:val="14"/>
              </w:rPr>
              <w:t>Паста – герметик для защиты и выравнивания кожи вокруг стомы в тубе. - моделируемая паста полужидкой консистенции с/без спирта, затвердевающая при высыхании, применяющаяся для защиты кожи, герметизации пластин калоприемников или уроприемников, выравнивания поверхностных шрамов и складок на коже вокруг стомы. вес не менее 60 г.</w:t>
            </w:r>
          </w:p>
          <w:p w:rsidR="00D17D97" w:rsidRPr="00A453F9" w:rsidRDefault="00D17D97" w:rsidP="00B16937">
            <w:pPr>
              <w:pStyle w:val="a8"/>
              <w:widowControl w:val="0"/>
              <w:tabs>
                <w:tab w:val="left" w:pos="708"/>
              </w:tabs>
              <w:contextualSpacing/>
              <w:rPr>
                <w:sz w:val="14"/>
                <w:szCs w:val="14"/>
              </w:rPr>
            </w:pPr>
          </w:p>
        </w:tc>
        <w:tc>
          <w:tcPr>
            <w:tcW w:w="3488" w:type="dxa"/>
            <w:vMerge/>
          </w:tcPr>
          <w:p w:rsidR="00D17D97" w:rsidRDefault="00D17D97" w:rsidP="00B16937"/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Pr="00DE4EB4" w:rsidRDefault="00D17D97" w:rsidP="00B16937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Pr="0012418B" w:rsidRDefault="00D17D97" w:rsidP="00B16937">
            <w:pPr>
              <w:pStyle w:val="11"/>
              <w:keepNext w:val="0"/>
              <w:widowControl w:val="0"/>
              <w:tabs>
                <w:tab w:val="left" w:pos="70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</w:tc>
      </w:tr>
      <w:tr w:rsidR="00D17D97" w:rsidTr="00D17D9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21-01-30</w:t>
            </w:r>
          </w:p>
          <w:p w:rsidR="00D17D97" w:rsidRPr="00DE4EB4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Паста – герметик для защиты и выравнивания кожи вокруг </w:t>
            </w:r>
            <w:proofErr w:type="spellStart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стомы</w:t>
            </w:r>
            <w:proofErr w:type="spellEnd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полосках, не менее </w:t>
            </w:r>
          </w:p>
          <w:p w:rsidR="00D17D97" w:rsidRPr="00DE4EB4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 г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Pr="00DA79F7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79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32.50.13.190</w:t>
            </w:r>
          </w:p>
          <w:p w:rsidR="00D17D97" w:rsidRPr="00DA79F7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17D97" w:rsidRPr="00DE4EB4" w:rsidRDefault="00D17D97" w:rsidP="00B16937">
            <w:pPr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Паста – герметик в полосках, не менее 60 г., 1 полоска – не менее 6 г. </w:t>
            </w: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Моделируемая паста плотно-эластичной консистенции в полосках, не содержащая спирт, применяющаяся для защиты кожи, для герметизации пластин калоприемников или уроприемников, выравнивания глубоких шрамов и складок на коже вокруг стомы.</w:t>
            </w:r>
          </w:p>
          <w:p w:rsidR="00D17D97" w:rsidRPr="00DE4EB4" w:rsidRDefault="00D17D97" w:rsidP="00B16937">
            <w:pPr>
              <w:keepNext/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88" w:type="dxa"/>
            <w:vMerge/>
          </w:tcPr>
          <w:p w:rsidR="00D17D97" w:rsidRDefault="00D17D97" w:rsidP="00B16937"/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Pr="00DE4EB4" w:rsidRDefault="00D17D97" w:rsidP="00B16937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Default="00D17D97" w:rsidP="00B16937">
            <w:pPr>
              <w:pStyle w:val="11"/>
              <w:keepNext w:val="0"/>
              <w:widowControl w:val="0"/>
              <w:tabs>
                <w:tab w:val="left" w:pos="70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</w:t>
            </w:r>
          </w:p>
        </w:tc>
      </w:tr>
      <w:tr w:rsidR="00D17D97" w:rsidTr="00D17D9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21-01-35</w:t>
            </w:r>
          </w:p>
          <w:p w:rsidR="00D17D97" w:rsidRPr="00DE4EB4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Очиститель для кожи во флаконе, не менее 180 мл</w:t>
            </w:r>
          </w:p>
          <w:p w:rsidR="00D17D97" w:rsidRPr="00DE4EB4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Pr="00DA79F7" w:rsidRDefault="00D17D97" w:rsidP="00B16937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DA79F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32.50.13.190-00006910/</w:t>
            </w:r>
          </w:p>
          <w:p w:rsidR="00D17D97" w:rsidRPr="00DA79F7" w:rsidRDefault="00D17D97" w:rsidP="00B16937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DA79F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32.50.13.190</w:t>
            </w:r>
          </w:p>
          <w:p w:rsidR="00D17D97" w:rsidRPr="00DA79F7" w:rsidRDefault="00D17D97" w:rsidP="00B16937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17D97" w:rsidRPr="00DE4EB4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Очиститель для кожи во флаконе – вещество, замещающее мыло и воду, для очищения кожи вокруг стомы и промежности от кала, мочи и других агрессивных выделений, а также удаления остатков адгезивов и других средств ухода за кожей. Флакон может быть с/без распылителя.  Объем флакона должен быть не менее 180 мл</w:t>
            </w:r>
          </w:p>
        </w:tc>
        <w:tc>
          <w:tcPr>
            <w:tcW w:w="3488" w:type="dxa"/>
            <w:vMerge/>
          </w:tcPr>
          <w:p w:rsidR="00D17D97" w:rsidRDefault="00D17D97" w:rsidP="00B16937"/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Pr="00DE4EB4" w:rsidRDefault="00D17D97" w:rsidP="00B16937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Pr="0012418B" w:rsidRDefault="00D17D97" w:rsidP="00B16937">
            <w:pPr>
              <w:pStyle w:val="11"/>
              <w:keepNext w:val="0"/>
              <w:widowControl w:val="0"/>
              <w:tabs>
                <w:tab w:val="left" w:pos="70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4 500</w:t>
            </w:r>
          </w:p>
        </w:tc>
      </w:tr>
      <w:tr w:rsidR="00D17D97" w:rsidTr="00D17D9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21-01-36</w:t>
            </w:r>
          </w:p>
          <w:p w:rsidR="00D17D97" w:rsidRPr="00DE4EB4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Очиститель для кожи в форме салфеток, не менее 30 штук</w:t>
            </w:r>
          </w:p>
          <w:p w:rsidR="00D17D97" w:rsidRPr="00DE4EB4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Pr="00DA79F7" w:rsidRDefault="00D17D97" w:rsidP="00B16937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DA79F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32.50.13.190-00006911/</w:t>
            </w:r>
          </w:p>
          <w:p w:rsidR="00D17D97" w:rsidRPr="00DA79F7" w:rsidRDefault="00D17D97" w:rsidP="00B16937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DA79F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32.50.13.190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17D97" w:rsidRDefault="00D17D97" w:rsidP="00B16937">
            <w:pPr>
              <w:keepNext/>
              <w:widowControl w:val="0"/>
              <w:tabs>
                <w:tab w:val="left" w:pos="708"/>
              </w:tabs>
              <w:ind w:left="-57" w:right="-57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16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Очиститель для кожи вокруг стомы: жидкий очиститель для удаления адгезивов на силиконовой или спиртовой основе, нанесенный на нетканые салфетки, для безболезненного и легкого отклеивания адгезивных пластин калоприемников (уроприемников), а также для удаления остатков адгезивов. Форма выпуска: салфетки. Предназначены для однократного применения. Индивидуальная упаковка каждой салфетки.</w:t>
            </w:r>
          </w:p>
          <w:p w:rsidR="00D17D97" w:rsidRPr="00DE4EB4" w:rsidRDefault="00D17D97" w:rsidP="00B16937">
            <w:pPr>
              <w:keepNext/>
              <w:widowControl w:val="0"/>
              <w:tabs>
                <w:tab w:val="left" w:pos="708"/>
              </w:tabs>
              <w:ind w:left="-57" w:right="-57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88" w:type="dxa"/>
            <w:vMerge/>
          </w:tcPr>
          <w:p w:rsidR="00D17D97" w:rsidRDefault="00D17D97" w:rsidP="00B16937"/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Pr="00DE4EB4" w:rsidRDefault="00D17D97" w:rsidP="00B16937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Pr="0012418B" w:rsidRDefault="00D17D97" w:rsidP="00B16937">
            <w:pPr>
              <w:pStyle w:val="11"/>
              <w:keepNext w:val="0"/>
              <w:widowControl w:val="0"/>
              <w:tabs>
                <w:tab w:val="left" w:pos="70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3 900</w:t>
            </w:r>
          </w:p>
        </w:tc>
      </w:tr>
      <w:tr w:rsidR="00D17D97" w:rsidTr="00D17D9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21-01-31</w:t>
            </w:r>
          </w:p>
          <w:p w:rsidR="00D17D97" w:rsidRPr="00DE4EB4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Крем защитный в тубе, не менее 60 мл</w:t>
            </w:r>
          </w:p>
          <w:p w:rsidR="00D17D97" w:rsidRPr="00DE4EB4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Pr="00DA79F7" w:rsidRDefault="00D17D97" w:rsidP="00B16937">
            <w:pPr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79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</w:t>
            </w:r>
          </w:p>
          <w:p w:rsidR="00D17D97" w:rsidRPr="00DA79F7" w:rsidRDefault="00D17D97" w:rsidP="00B16937">
            <w:pPr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17D97" w:rsidRPr="00DE4EB4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Крем защитный в тубе, не менее 60 мл.</w:t>
            </w:r>
          </w:p>
          <w:p w:rsidR="00D17D97" w:rsidRPr="00DE4EB4" w:rsidRDefault="00D17D97" w:rsidP="00B16937">
            <w:pPr>
              <w:keepNext/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водоотталкивающий крем для ухода за кожей вокруг стомы или фистулы, для профилактики перистомальных осложнений, защиты кожи от раздражения, для смягчения и увлажнения сухой раздраженной кожи, восстановления нормального рН кожи.</w:t>
            </w:r>
          </w:p>
        </w:tc>
        <w:tc>
          <w:tcPr>
            <w:tcW w:w="3488" w:type="dxa"/>
            <w:vMerge/>
          </w:tcPr>
          <w:p w:rsidR="00D17D97" w:rsidRDefault="00D17D97" w:rsidP="00B16937"/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Pr="00DE4EB4" w:rsidRDefault="00D17D97" w:rsidP="00B16937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Pr="0012418B" w:rsidRDefault="00D17D97" w:rsidP="00B16937">
            <w:pPr>
              <w:pStyle w:val="11"/>
              <w:keepNext w:val="0"/>
              <w:widowControl w:val="0"/>
              <w:tabs>
                <w:tab w:val="left" w:pos="70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3 000</w:t>
            </w:r>
          </w:p>
        </w:tc>
      </w:tr>
      <w:tr w:rsidR="00D17D97" w:rsidTr="00D17D9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21-01-27</w:t>
            </w:r>
          </w:p>
          <w:p w:rsidR="00D17D97" w:rsidRPr="00DE4EB4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Анальный тампон (средство ухода при недержании кала)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Pr="00DA79F7" w:rsidRDefault="00D17D97" w:rsidP="00DA79F7">
            <w:pPr>
              <w:keepNext/>
              <w:keepLines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DA79F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32.50.13.190-00006915/</w:t>
            </w:r>
          </w:p>
          <w:p w:rsidR="00D17D97" w:rsidRPr="00DA79F7" w:rsidRDefault="00D17D97" w:rsidP="00DA79F7">
            <w:pPr>
              <w:keepNext/>
              <w:widowControl w:val="0"/>
              <w:tabs>
                <w:tab w:val="left" w:pos="708"/>
              </w:tabs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79F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32.50.13.190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17D97" w:rsidRPr="00DE4EB4" w:rsidRDefault="00D17D97" w:rsidP="00B16937">
            <w:pPr>
              <w:pStyle w:val="a8"/>
              <w:widowControl w:val="0"/>
              <w:tabs>
                <w:tab w:val="left" w:pos="708"/>
              </w:tabs>
              <w:spacing w:before="0" w:after="0"/>
              <w:contextualSpacing/>
              <w:rPr>
                <w:sz w:val="14"/>
                <w:szCs w:val="14"/>
              </w:rPr>
            </w:pPr>
            <w:r w:rsidRPr="00A453F9">
              <w:rPr>
                <w:sz w:val="14"/>
                <w:szCs w:val="14"/>
              </w:rPr>
              <w:t>Анальный тампон: тампон в форме анальной свечи из вспененного полиуретана, покрытый влагорастворимой биодеградирующей пленкой, со шнуром из хлопка для удаления тампона, препятствующий непроизвольному выходу кишечного содержимого из прямой кишки</w:t>
            </w:r>
            <w:r>
              <w:rPr>
                <w:sz w:val="14"/>
                <w:szCs w:val="14"/>
              </w:rPr>
              <w:t xml:space="preserve">. </w:t>
            </w:r>
            <w:r w:rsidRPr="00DE4EB4">
              <w:rPr>
                <w:sz w:val="14"/>
                <w:szCs w:val="14"/>
              </w:rPr>
              <w:t xml:space="preserve">Диаметр не менее 36 мм. Индивидуальная чистая непрозрачная упаковка каждого анального тампона. </w:t>
            </w:r>
          </w:p>
        </w:tc>
        <w:tc>
          <w:tcPr>
            <w:tcW w:w="3488" w:type="dxa"/>
            <w:vMerge/>
          </w:tcPr>
          <w:p w:rsidR="00D17D97" w:rsidRDefault="00D17D97" w:rsidP="00B16937"/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Pr="00DE4EB4" w:rsidRDefault="00D17D97" w:rsidP="00B16937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Pr="0012418B" w:rsidRDefault="00D17D97" w:rsidP="00B16937">
            <w:pPr>
              <w:pStyle w:val="11"/>
              <w:keepNext w:val="0"/>
              <w:widowControl w:val="0"/>
              <w:tabs>
                <w:tab w:val="left" w:pos="70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4 000</w:t>
            </w:r>
          </w:p>
        </w:tc>
      </w:tr>
      <w:tr w:rsidR="00D17D97" w:rsidTr="00D17D9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21-01-38</w:t>
            </w:r>
          </w:p>
          <w:p w:rsidR="00D17D97" w:rsidRPr="00DE4EB4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Абсорбирующие </w:t>
            </w:r>
            <w:proofErr w:type="spellStart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желирующие</w:t>
            </w:r>
            <w:proofErr w:type="spellEnd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пакетики для </w:t>
            </w:r>
            <w:proofErr w:type="spellStart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стомных</w:t>
            </w:r>
            <w:proofErr w:type="spellEnd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мешков, 30 шт. (абсорбирующие желирующие пакетики для стомных мешков, 30 шт.)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Pr="00DA79F7" w:rsidRDefault="00D17D97" w:rsidP="00DA79F7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DA79F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32.50.13.190-00006913/</w:t>
            </w:r>
          </w:p>
          <w:p w:rsidR="00D17D97" w:rsidRPr="00DA79F7" w:rsidRDefault="00D17D97" w:rsidP="00DA79F7">
            <w:pPr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79F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32.50.13.190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17D97" w:rsidRPr="00DE4EB4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16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Абсорбирующие желирующие пакетики для стомных мешков –это желирующее средство для стомных мешков. Данное средство должно превращать жидкое содержимое кало- и уроприемника в густой гель, дезодорировать неприятный запах, абсорбировать газы. Средство должно быть представлено в виде специальных пакетиков-саше (с порошком или гранулами) для размещения внутри сборного мешка калоприемника и уроприемника.</w:t>
            </w:r>
          </w:p>
        </w:tc>
        <w:tc>
          <w:tcPr>
            <w:tcW w:w="3488" w:type="dxa"/>
            <w:vMerge/>
          </w:tcPr>
          <w:p w:rsidR="00D17D97" w:rsidRDefault="00D17D97" w:rsidP="00B16937"/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Pr="00DE4EB4" w:rsidRDefault="00D17D97" w:rsidP="00B16937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Default="00D17D97" w:rsidP="00B16937">
            <w:pPr>
              <w:pStyle w:val="11"/>
              <w:keepNext w:val="0"/>
              <w:widowControl w:val="0"/>
              <w:tabs>
                <w:tab w:val="left" w:pos="70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1 500</w:t>
            </w:r>
          </w:p>
        </w:tc>
      </w:tr>
      <w:tr w:rsidR="00D17D97" w:rsidTr="00D17D9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21-01-42</w:t>
            </w:r>
          </w:p>
          <w:p w:rsidR="00D17D97" w:rsidRPr="00E77298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72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Тампон для </w:t>
            </w:r>
            <w:proofErr w:type="spellStart"/>
            <w:r w:rsidRPr="00E772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стомы</w:t>
            </w:r>
            <w:proofErr w:type="spellEnd"/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Pr="00DA79F7" w:rsidRDefault="00D17D97" w:rsidP="00DA79F7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DA79F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32.50.13.190-00006914/</w:t>
            </w:r>
          </w:p>
          <w:p w:rsidR="00D17D97" w:rsidRPr="00DA79F7" w:rsidRDefault="00D17D97" w:rsidP="00DA79F7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DA79F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32.50.13.190</w:t>
            </w:r>
          </w:p>
          <w:p w:rsidR="00D17D97" w:rsidRPr="00DA79F7" w:rsidRDefault="00D17D97" w:rsidP="00B16937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17D97" w:rsidRPr="00E77298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Тампон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стомы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E772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должен препятствовать непроизвольному выходу кишечного содержимого из </w:t>
            </w:r>
            <w:proofErr w:type="spellStart"/>
            <w:r w:rsidRPr="00E772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колостомы</w:t>
            </w:r>
            <w:proofErr w:type="spellEnd"/>
            <w:r w:rsidRPr="00E772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устранять запах и выпускать из кишки воздух, должен быть в форме свечи из вспененного полиуретана, покрытый </w:t>
            </w:r>
            <w:proofErr w:type="spellStart"/>
            <w:r w:rsidRPr="00E772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влагорастворимой</w:t>
            </w:r>
            <w:proofErr w:type="spellEnd"/>
            <w:r w:rsidRPr="00E772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пленкой, со встроенной адгезивной пластиной, </w:t>
            </w:r>
            <w:proofErr w:type="spellStart"/>
            <w:r w:rsidRPr="00E772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оснащнной</w:t>
            </w:r>
            <w:proofErr w:type="spellEnd"/>
            <w:r w:rsidRPr="00E772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фильтром. Изделие для одноразового использования.</w:t>
            </w:r>
          </w:p>
        </w:tc>
        <w:tc>
          <w:tcPr>
            <w:tcW w:w="3488" w:type="dxa"/>
            <w:vMerge/>
          </w:tcPr>
          <w:p w:rsidR="00D17D97" w:rsidRDefault="00D17D97" w:rsidP="00B16937"/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Default="00D17D97" w:rsidP="00B16937">
            <w:pPr>
              <w:jc w:val="center"/>
            </w:pPr>
            <w:r w:rsidRPr="00D85E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Pr="00E77298" w:rsidRDefault="00D17D97" w:rsidP="00B16937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</w:tr>
      <w:tr w:rsidR="00D17D97" w:rsidTr="00D17D9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21-01-41</w:t>
            </w:r>
          </w:p>
          <w:p w:rsidR="00D17D97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Защитные кольца для кожи вокруг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стомы</w:t>
            </w:r>
            <w:proofErr w:type="spellEnd"/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Pr="00DA79F7" w:rsidRDefault="00D17D97" w:rsidP="00B16937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79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Pr="004D7617" w:rsidRDefault="00D17D97" w:rsidP="00B1693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D76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Моделируемое адгезивное защитное кольцо для защиты кожи, выравнивания шрамов и складок на коже вокруг </w:t>
            </w:r>
            <w:proofErr w:type="spellStart"/>
            <w:r w:rsidRPr="004D76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стомы</w:t>
            </w:r>
            <w:proofErr w:type="spellEnd"/>
            <w:r w:rsidRPr="004D76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герметизации пластин калоприемников и уроприемников, обеспечивает длительную защиту от протекания, кишечного отделяемого или мочи. Моделируемое адгезивное защитное кольцо, толщина - 2,0 мм.</w:t>
            </w:r>
          </w:p>
          <w:p w:rsidR="00D17D97" w:rsidRPr="00E77298" w:rsidRDefault="00D17D97" w:rsidP="00B1693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88" w:type="dxa"/>
          </w:tcPr>
          <w:p w:rsidR="00D17D97" w:rsidRDefault="00D17D97" w:rsidP="00B16937"/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Default="00D17D97" w:rsidP="00B16937">
            <w:pPr>
              <w:jc w:val="center"/>
            </w:pPr>
            <w:r w:rsidRPr="00D85E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Default="00D17D97" w:rsidP="00B16937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</w:tr>
      <w:tr w:rsidR="00D17D97" w:rsidTr="00D17D9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D97" w:rsidRPr="0012418B" w:rsidRDefault="00D17D97" w:rsidP="00B16937">
            <w:pPr>
              <w:widowControl w:val="0"/>
              <w:jc w:val="center"/>
              <w:rPr>
                <w:rFonts w:eastAsia="Lucida Sans Unicode"/>
                <w:b/>
                <w:kern w:val="1"/>
                <w:sz w:val="18"/>
                <w:szCs w:val="18"/>
              </w:rPr>
            </w:pPr>
            <w:r w:rsidRPr="0012418B">
              <w:rPr>
                <w:rFonts w:eastAsia="Lucida Sans Unicode"/>
                <w:b/>
                <w:kern w:val="1"/>
                <w:sz w:val="18"/>
                <w:szCs w:val="18"/>
              </w:rPr>
              <w:t>Всего: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D97" w:rsidRPr="0012418B" w:rsidRDefault="00D17D97" w:rsidP="00B16937">
            <w:pPr>
              <w:pStyle w:val="11"/>
              <w:keepNext w:val="0"/>
              <w:widowControl w:val="0"/>
              <w:ind w:left="-40" w:right="-40"/>
              <w:rPr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х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D97" w:rsidRPr="0012418B" w:rsidRDefault="00D17D97" w:rsidP="00B16937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D97" w:rsidRPr="0012418B" w:rsidRDefault="00D17D97" w:rsidP="00B16937">
            <w:pPr>
              <w:pStyle w:val="11"/>
              <w:keepNext w:val="0"/>
              <w:widowControl w:val="0"/>
              <w:ind w:left="-40" w:right="-4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D97" w:rsidRPr="0012418B" w:rsidRDefault="00D17D97" w:rsidP="00B16937">
            <w:pPr>
              <w:widowControl w:val="0"/>
              <w:jc w:val="center"/>
              <w:rPr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х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D97" w:rsidRPr="0012418B" w:rsidRDefault="00D17D97" w:rsidP="00B16937">
            <w:pPr>
              <w:pStyle w:val="11"/>
              <w:keepNext w:val="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33 530</w:t>
            </w:r>
          </w:p>
        </w:tc>
      </w:tr>
    </w:tbl>
    <w:p w:rsidR="00DE4EB4" w:rsidRDefault="00DE4EB4" w:rsidP="00DE4EB4">
      <w:pPr>
        <w:widowControl w:val="0"/>
        <w:ind w:right="-284"/>
        <w:jc w:val="both"/>
      </w:pPr>
    </w:p>
    <w:p w:rsidR="00BC2244" w:rsidRPr="006C0E97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291">
        <w:rPr>
          <w:rFonts w:ascii="Times New Roman" w:hAnsi="Times New Roman" w:cs="Times New Roman"/>
          <w:b/>
          <w:i/>
          <w:sz w:val="24"/>
          <w:szCs w:val="24"/>
        </w:rPr>
        <w:t>Требования к порядку поставки</w:t>
      </w:r>
      <w:r w:rsidRPr="00FF129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FF1291">
        <w:rPr>
          <w:rFonts w:ascii="Times New Roman" w:hAnsi="Times New Roman" w:cs="Times New Roman"/>
          <w:sz w:val="24"/>
          <w:szCs w:val="24"/>
        </w:rPr>
        <w:t xml:space="preserve"> </w:t>
      </w:r>
      <w:r w:rsidRPr="006C0E97">
        <w:rPr>
          <w:rFonts w:ascii="Times New Roman" w:hAnsi="Times New Roman" w:cs="Times New Roman"/>
          <w:color w:val="000000"/>
          <w:sz w:val="24"/>
          <w:szCs w:val="24"/>
        </w:rPr>
        <w:t>Предоставить Получателям в пределах административных границ субъекта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(Ярославской области) </w:t>
      </w:r>
      <w:r w:rsidRPr="006C0E97">
        <w:rPr>
          <w:rFonts w:ascii="Times New Roman" w:hAnsi="Times New Roman" w:cs="Times New Roman"/>
          <w:color w:val="000000"/>
          <w:sz w:val="24"/>
          <w:szCs w:val="24"/>
        </w:rPr>
        <w:t>право выбора одного из способов получения Товара:</w:t>
      </w:r>
    </w:p>
    <w:p w:rsidR="00BC2244" w:rsidRPr="006C0E97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97">
        <w:rPr>
          <w:rFonts w:ascii="Times New Roman" w:hAnsi="Times New Roman" w:cs="Times New Roman"/>
          <w:color w:val="000000"/>
          <w:sz w:val="24"/>
          <w:szCs w:val="24"/>
        </w:rPr>
        <w:t>по месту жительства Получателя;</w:t>
      </w:r>
    </w:p>
    <w:p w:rsidR="00BC2244" w:rsidRPr="006C0E97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97">
        <w:rPr>
          <w:rFonts w:ascii="Times New Roman" w:hAnsi="Times New Roman" w:cs="Times New Roman"/>
          <w:color w:val="000000"/>
          <w:sz w:val="24"/>
          <w:szCs w:val="24"/>
        </w:rPr>
        <w:t>в пунктах выдачи.</w:t>
      </w:r>
    </w:p>
    <w:p w:rsidR="00BC2244" w:rsidRPr="00FF1291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91">
        <w:rPr>
          <w:rFonts w:ascii="Times New Roman" w:hAnsi="Times New Roman" w:cs="Times New Roman"/>
          <w:sz w:val="24"/>
          <w:szCs w:val="24"/>
        </w:rPr>
        <w:t xml:space="preserve">В случае выбора Получателем способа получения Товара через пункт выдачи Товара: передача Товара Получателям осуществляется в стационарных пунктах выдачи, организованных в соответствии с </w:t>
      </w:r>
      <w:hyperlink r:id="rId6" w:history="1">
        <w:r w:rsidRPr="00FF1291">
          <w:rPr>
            <w:rFonts w:ascii="Times New Roman" w:hAnsi="Times New Roman" w:cs="Times New Roman"/>
            <w:color w:val="000000"/>
            <w:sz w:val="24"/>
            <w:szCs w:val="24"/>
          </w:rPr>
          <w:t>приказом</w:t>
        </w:r>
      </w:hyperlink>
      <w:r w:rsidRPr="00FF1291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</w:t>
      </w:r>
      <w:bookmarkStart w:id="0" w:name="_GoBack"/>
      <w:bookmarkEnd w:id="0"/>
      <w:r w:rsidRPr="00FF1291">
        <w:rPr>
          <w:rFonts w:ascii="Times New Roman" w:hAnsi="Times New Roman" w:cs="Times New Roman"/>
          <w:sz w:val="24"/>
          <w:szCs w:val="24"/>
        </w:rPr>
        <w:t>ния им при этом необходимой помощи".</w:t>
      </w:r>
    </w:p>
    <w:p w:rsidR="00BC2244" w:rsidRPr="00FF1291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91">
        <w:rPr>
          <w:rFonts w:ascii="Times New Roman" w:hAnsi="Times New Roman" w:cs="Times New Roman"/>
          <w:sz w:val="24"/>
          <w:szCs w:val="24"/>
        </w:rPr>
        <w:t>Пункты выдачи Товара и склад Поставщика должны быть оснащены видеокамерами.</w:t>
      </w:r>
    </w:p>
    <w:p w:rsidR="00BC2244" w:rsidRPr="00FF1291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91">
        <w:rPr>
          <w:rFonts w:ascii="Times New Roman" w:hAnsi="Times New Roman" w:cs="Times New Roman"/>
          <w:sz w:val="24"/>
          <w:szCs w:val="24"/>
        </w:rPr>
        <w:t>При передаче Товара Получателю осуществляется фото-/видеофиксация факта передачи Товара Получателю (представителю Получателя) (при его согласии) с последующей передачей фото- /видеоматериалов Заказчику.</w:t>
      </w:r>
    </w:p>
    <w:p w:rsidR="0090357B" w:rsidRDefault="0090357B" w:rsidP="0090357B">
      <w:pPr>
        <w:pStyle w:val="ConsPlusNormal"/>
        <w:ind w:firstLine="540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Срок поставки Товара: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даты получения от Заказчика реестра получателей Товара до "21" декабря 2021 года. </w:t>
      </w:r>
      <w:r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130435" w:rsidRDefault="00130435" w:rsidP="0090357B">
      <w:pPr>
        <w:pStyle w:val="ConsPlusNormal"/>
        <w:ind w:firstLine="540"/>
        <w:jc w:val="both"/>
      </w:pPr>
    </w:p>
    <w:sectPr w:rsidR="00130435" w:rsidSect="00232A1E">
      <w:headerReference w:type="default" r:id="rId7"/>
      <w:pgSz w:w="16838" w:h="11906" w:orient="landscape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AF" w:rsidRDefault="00AB4BAF" w:rsidP="00740592">
      <w:pPr>
        <w:spacing w:after="0" w:line="240" w:lineRule="auto"/>
      </w:pPr>
      <w:r>
        <w:separator/>
      </w:r>
    </w:p>
  </w:endnote>
  <w:endnote w:type="continuationSeparator" w:id="0">
    <w:p w:rsidR="00AB4BAF" w:rsidRDefault="00AB4BAF" w:rsidP="0074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AF" w:rsidRDefault="00AB4BAF" w:rsidP="00740592">
      <w:pPr>
        <w:spacing w:after="0" w:line="240" w:lineRule="auto"/>
      </w:pPr>
      <w:r>
        <w:separator/>
      </w:r>
    </w:p>
  </w:footnote>
  <w:footnote w:type="continuationSeparator" w:id="0">
    <w:p w:rsidR="00AB4BAF" w:rsidRDefault="00AB4BAF" w:rsidP="0074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43"/>
    <w:rsid w:val="000D0349"/>
    <w:rsid w:val="00130435"/>
    <w:rsid w:val="00186578"/>
    <w:rsid w:val="00187FB5"/>
    <w:rsid w:val="00190D27"/>
    <w:rsid w:val="002015C0"/>
    <w:rsid w:val="00215A1D"/>
    <w:rsid w:val="00232A1E"/>
    <w:rsid w:val="00273BD3"/>
    <w:rsid w:val="00282987"/>
    <w:rsid w:val="002D2843"/>
    <w:rsid w:val="003E577A"/>
    <w:rsid w:val="004011F1"/>
    <w:rsid w:val="00426B8D"/>
    <w:rsid w:val="004D7617"/>
    <w:rsid w:val="004E7162"/>
    <w:rsid w:val="00532228"/>
    <w:rsid w:val="0064003A"/>
    <w:rsid w:val="006871EE"/>
    <w:rsid w:val="006922A9"/>
    <w:rsid w:val="006B64C3"/>
    <w:rsid w:val="006D2685"/>
    <w:rsid w:val="00740592"/>
    <w:rsid w:val="00791CE0"/>
    <w:rsid w:val="007966CF"/>
    <w:rsid w:val="00796D36"/>
    <w:rsid w:val="007C2D5F"/>
    <w:rsid w:val="007D5F58"/>
    <w:rsid w:val="007E2A9D"/>
    <w:rsid w:val="00833291"/>
    <w:rsid w:val="00866146"/>
    <w:rsid w:val="00882C4C"/>
    <w:rsid w:val="008F2806"/>
    <w:rsid w:val="008F3414"/>
    <w:rsid w:val="0090357B"/>
    <w:rsid w:val="009A3A75"/>
    <w:rsid w:val="009C5991"/>
    <w:rsid w:val="009F06C1"/>
    <w:rsid w:val="00A114DF"/>
    <w:rsid w:val="00A27BCF"/>
    <w:rsid w:val="00A47ED5"/>
    <w:rsid w:val="00A5718E"/>
    <w:rsid w:val="00A858AB"/>
    <w:rsid w:val="00AB098C"/>
    <w:rsid w:val="00AB4BAF"/>
    <w:rsid w:val="00B02FCE"/>
    <w:rsid w:val="00B16937"/>
    <w:rsid w:val="00B22C21"/>
    <w:rsid w:val="00B35526"/>
    <w:rsid w:val="00B63B50"/>
    <w:rsid w:val="00B8146D"/>
    <w:rsid w:val="00BC2244"/>
    <w:rsid w:val="00C35270"/>
    <w:rsid w:val="00C36F88"/>
    <w:rsid w:val="00CD6261"/>
    <w:rsid w:val="00D17D97"/>
    <w:rsid w:val="00D7162E"/>
    <w:rsid w:val="00DA79F7"/>
    <w:rsid w:val="00DE072B"/>
    <w:rsid w:val="00DE4EB4"/>
    <w:rsid w:val="00DE6143"/>
    <w:rsid w:val="00E0253E"/>
    <w:rsid w:val="00E270B9"/>
    <w:rsid w:val="00E43A19"/>
    <w:rsid w:val="00E77298"/>
    <w:rsid w:val="00EB1827"/>
    <w:rsid w:val="00F56968"/>
    <w:rsid w:val="00F709A1"/>
    <w:rsid w:val="00F973AB"/>
    <w:rsid w:val="00FA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979E7-3E10-4667-9FD0-FE8275F2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32A1E"/>
    <w:pPr>
      <w:keepNext/>
      <w:widowControl w:val="0"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E57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592"/>
  </w:style>
  <w:style w:type="paragraph" w:styleId="a6">
    <w:name w:val="footer"/>
    <w:basedOn w:val="a"/>
    <w:link w:val="a7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592"/>
  </w:style>
  <w:style w:type="paragraph" w:styleId="a8">
    <w:name w:val="Normal (Web)"/>
    <w:aliases w:val="Обычный (Web)"/>
    <w:basedOn w:val="a"/>
    <w:uiPriority w:val="99"/>
    <w:rsid w:val="00DE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rsid w:val="00DE4EB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2A1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11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22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9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26373A6C0DC5BE1AE5BF247482912E18CAC98408FFC480FB735D20C5B3A2257A4AD916DA107B05A528954EB3D8tF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Сякина Татьяна Викторовна</dc:creator>
  <cp:keywords/>
  <dc:description/>
  <cp:lastModifiedBy>7600 Добрягина Надежда Александровна</cp:lastModifiedBy>
  <cp:revision>46</cp:revision>
  <cp:lastPrinted>2021-06-15T07:59:00Z</cp:lastPrinted>
  <dcterms:created xsi:type="dcterms:W3CDTF">2019-12-02T06:38:00Z</dcterms:created>
  <dcterms:modified xsi:type="dcterms:W3CDTF">2021-06-24T08:50:00Z</dcterms:modified>
</cp:coreProperties>
</file>