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59" w:rsidRPr="00974E8D" w:rsidRDefault="007C2459" w:rsidP="00C24AB5">
      <w:pPr>
        <w:spacing w:after="0" w:line="240" w:lineRule="auto"/>
        <w:jc w:val="right"/>
        <w:rPr>
          <w:rFonts w:ascii="Times New Roman" w:hAnsi="Times New Roman"/>
          <w:sz w:val="24"/>
          <w:szCs w:val="24"/>
        </w:rPr>
      </w:pPr>
      <w:r w:rsidRPr="00974E8D">
        <w:rPr>
          <w:rFonts w:ascii="Times New Roman" w:hAnsi="Times New Roman"/>
          <w:sz w:val="24"/>
          <w:szCs w:val="24"/>
        </w:rPr>
        <w:t xml:space="preserve">                                                                                                                                                             </w:t>
      </w:r>
    </w:p>
    <w:p w:rsidR="007C2459" w:rsidRPr="00974E8D" w:rsidRDefault="007C2459" w:rsidP="00091159">
      <w:pPr>
        <w:spacing w:after="0" w:line="240" w:lineRule="auto"/>
        <w:rPr>
          <w:rFonts w:ascii="Times New Roman" w:hAnsi="Times New Roman"/>
          <w:sz w:val="24"/>
          <w:szCs w:val="24"/>
        </w:rPr>
      </w:pPr>
    </w:p>
    <w:p w:rsidR="007C2459" w:rsidRPr="00974E8D" w:rsidRDefault="007C2459" w:rsidP="00091159">
      <w:pPr>
        <w:spacing w:after="0" w:line="240" w:lineRule="auto"/>
        <w:rPr>
          <w:rFonts w:ascii="Times New Roman" w:hAnsi="Times New Roman"/>
          <w:sz w:val="24"/>
          <w:szCs w:val="24"/>
        </w:rPr>
      </w:pPr>
    </w:p>
    <w:p w:rsidR="007C2459" w:rsidRPr="00974E8D" w:rsidRDefault="007C2459" w:rsidP="00657421">
      <w:pPr>
        <w:jc w:val="center"/>
        <w:rPr>
          <w:rFonts w:ascii="Times New Roman" w:hAnsi="Times New Roman"/>
          <w:sz w:val="24"/>
          <w:szCs w:val="24"/>
        </w:rPr>
      </w:pPr>
      <w:r w:rsidRPr="00974E8D">
        <w:rPr>
          <w:rFonts w:ascii="Times New Roman" w:hAnsi="Times New Roman"/>
          <w:sz w:val="24"/>
          <w:szCs w:val="24"/>
        </w:rPr>
        <w:t>Техническое задание</w:t>
      </w:r>
    </w:p>
    <w:p w:rsidR="007C2459" w:rsidRDefault="00EB3407" w:rsidP="00EB3407">
      <w:pPr>
        <w:spacing w:after="0" w:line="240" w:lineRule="auto"/>
        <w:jc w:val="center"/>
        <w:rPr>
          <w:rFonts w:ascii="Times New Roman" w:hAnsi="Times New Roman"/>
        </w:rPr>
      </w:pPr>
      <w:r w:rsidRPr="00EB3407">
        <w:rPr>
          <w:rFonts w:ascii="Times New Roman" w:hAnsi="Times New Roman"/>
        </w:rPr>
        <w:t xml:space="preserve">Поставка инвалидам впитывающих простыней </w:t>
      </w:r>
      <w:r w:rsidR="006F27BD">
        <w:rPr>
          <w:rFonts w:ascii="Times New Roman" w:hAnsi="Times New Roman"/>
        </w:rPr>
        <w:t>(</w:t>
      </w:r>
      <w:r w:rsidRPr="00EB3407">
        <w:rPr>
          <w:rFonts w:ascii="Times New Roman" w:hAnsi="Times New Roman"/>
        </w:rPr>
        <w:t>пеленок</w:t>
      </w:r>
      <w:r w:rsidR="006F27BD">
        <w:rPr>
          <w:rFonts w:ascii="Times New Roman" w:hAnsi="Times New Roman"/>
        </w:rPr>
        <w:t>)</w:t>
      </w:r>
      <w:bookmarkStart w:id="0" w:name="_GoBack"/>
      <w:bookmarkEnd w:id="0"/>
    </w:p>
    <w:p w:rsidR="006C3BE5" w:rsidRPr="00EB3407" w:rsidRDefault="006C3BE5" w:rsidP="00EB3407">
      <w:pPr>
        <w:spacing w:after="0" w:line="240" w:lineRule="auto"/>
        <w:jc w:val="center"/>
        <w:rPr>
          <w:rFonts w:ascii="Times New Roman" w:hAnsi="Times New Roman"/>
          <w:sz w:val="20"/>
          <w:szCs w:val="20"/>
        </w:rPr>
      </w:pPr>
    </w:p>
    <w:p w:rsidR="00657421"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974E8D">
        <w:rPr>
          <w:rFonts w:eastAsia="Lucida Sans Unicode"/>
          <w:color w:val="auto"/>
          <w:sz w:val="22"/>
          <w:szCs w:val="22"/>
          <w:lang w:bidi="en-US"/>
        </w:rPr>
        <w:t xml:space="preserve">Срок </w:t>
      </w:r>
      <w:r w:rsidR="00212781">
        <w:rPr>
          <w:rFonts w:eastAsia="Lucida Sans Unicode"/>
          <w:lang w:bidi="en-US"/>
        </w:rPr>
        <w:t>поставки</w:t>
      </w:r>
      <w:r w:rsidR="00657421" w:rsidRPr="00974E8D">
        <w:rPr>
          <w:rFonts w:cs="Times New Roman"/>
          <w:color w:val="auto"/>
          <w:sz w:val="22"/>
          <w:szCs w:val="22"/>
        </w:rPr>
        <w:t xml:space="preserve">: </w:t>
      </w:r>
      <w:r w:rsidR="00EC1579" w:rsidRPr="00EC1579">
        <w:rPr>
          <w:rFonts w:cs="Times New Roman"/>
          <w:color w:val="0000FF"/>
          <w:sz w:val="22"/>
          <w:szCs w:val="22"/>
        </w:rPr>
        <w:t>до 25.11.2021 года</w:t>
      </w:r>
      <w:r w:rsidR="006C3BE5">
        <w:rPr>
          <w:rFonts w:cs="Times New Roman"/>
          <w:color w:val="0000FF"/>
          <w:sz w:val="22"/>
          <w:szCs w:val="22"/>
        </w:rPr>
        <w:t>.</w:t>
      </w:r>
    </w:p>
    <w:p w:rsidR="001A214A" w:rsidRPr="00CB7E6B" w:rsidRDefault="001A214A" w:rsidP="001A214A">
      <w:pPr>
        <w:pStyle w:val="a7"/>
        <w:keepNext w:val="0"/>
        <w:widowControl w:val="0"/>
        <w:tabs>
          <w:tab w:val="left" w:pos="8160"/>
        </w:tabs>
        <w:overflowPunct/>
        <w:autoSpaceDE/>
        <w:spacing w:line="240" w:lineRule="auto"/>
        <w:textAlignment w:val="auto"/>
        <w:rPr>
          <w:rFonts w:cs="Times New Roman"/>
          <w:color w:val="auto"/>
          <w:sz w:val="22"/>
          <w:szCs w:val="22"/>
        </w:rPr>
      </w:pPr>
      <w:r>
        <w:rPr>
          <w:sz w:val="22"/>
          <w:szCs w:val="22"/>
        </w:rPr>
        <w:t xml:space="preserve">Место поставки: </w:t>
      </w:r>
      <w:r>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4124D7" w:rsidRDefault="00D421A2" w:rsidP="004124D7">
      <w:pPr>
        <w:tabs>
          <w:tab w:val="left" w:pos="8160"/>
        </w:tabs>
        <w:spacing w:after="0" w:line="240" w:lineRule="auto"/>
        <w:jc w:val="both"/>
        <w:rPr>
          <w:rFonts w:ascii="Times New Roman" w:hAnsi="Times New Roman"/>
          <w:color w:val="0000FF"/>
        </w:rPr>
      </w:pPr>
      <w:r w:rsidRPr="00535766">
        <w:rPr>
          <w:rFonts w:ascii="Times New Roman" w:hAnsi="Times New Roman"/>
        </w:rPr>
        <w:t>Начальная (максимальная) цена контракта</w:t>
      </w:r>
      <w:r w:rsidR="00657421" w:rsidRPr="00974E8D">
        <w:rPr>
          <w:rFonts w:ascii="Times New Roman" w:hAnsi="Times New Roman"/>
        </w:rPr>
        <w:t xml:space="preserve">: </w:t>
      </w:r>
      <w:r w:rsidR="00110017">
        <w:rPr>
          <w:rFonts w:ascii="Times New Roman" w:hAnsi="Times New Roman"/>
          <w:color w:val="0000FF"/>
        </w:rPr>
        <w:t>3067320</w:t>
      </w:r>
      <w:r w:rsidR="00110017" w:rsidRPr="00EC1579">
        <w:rPr>
          <w:rFonts w:ascii="Times New Roman" w:hAnsi="Times New Roman"/>
          <w:color w:val="0000FF"/>
        </w:rPr>
        <w:t xml:space="preserve"> руб. </w:t>
      </w:r>
      <w:r w:rsidR="00110017">
        <w:rPr>
          <w:rFonts w:ascii="Times New Roman" w:hAnsi="Times New Roman"/>
          <w:color w:val="0000FF"/>
        </w:rPr>
        <w:t>00</w:t>
      </w:r>
      <w:r w:rsidR="00110017" w:rsidRPr="00EC1579">
        <w:rPr>
          <w:rFonts w:ascii="Times New Roman" w:hAnsi="Times New Roman"/>
          <w:color w:val="0000FF"/>
        </w:rPr>
        <w:t xml:space="preserve"> коп.</w:t>
      </w:r>
    </w:p>
    <w:p w:rsidR="00A26F46" w:rsidRPr="004124D7" w:rsidRDefault="00A26F46" w:rsidP="004124D7">
      <w:pPr>
        <w:tabs>
          <w:tab w:val="left" w:pos="8160"/>
        </w:tabs>
        <w:spacing w:after="0" w:line="240" w:lineRule="auto"/>
        <w:jc w:val="both"/>
        <w:rPr>
          <w:rFonts w:ascii="Times New Roman" w:hAnsi="Times New Roman"/>
          <w:color w:val="0000FF"/>
          <w:lang w:eastAsia="ru-RU"/>
        </w:rPr>
      </w:pPr>
      <w:r w:rsidRPr="00974E8D">
        <w:rPr>
          <w:rFonts w:ascii="Times New Roman" w:hAnsi="Times New Roman"/>
          <w:lang w:eastAsia="ru-RU"/>
        </w:rPr>
        <w:t xml:space="preserve">ОКПД2: </w:t>
      </w:r>
      <w:r w:rsidRPr="004124D7">
        <w:rPr>
          <w:rFonts w:ascii="Times New Roman" w:hAnsi="Times New Roman"/>
          <w:color w:val="0000FF"/>
          <w:lang w:eastAsia="ru-RU"/>
        </w:rPr>
        <w:t>17.22.12.130</w:t>
      </w:r>
    </w:p>
    <w:p w:rsidR="00657421" w:rsidRDefault="00A26F46" w:rsidP="00A26F46">
      <w:pPr>
        <w:widowControl w:val="0"/>
        <w:rPr>
          <w:rFonts w:ascii="Times New Roman" w:hAnsi="Times New Roman"/>
          <w:color w:val="0000FF"/>
          <w:lang w:eastAsia="ru-RU"/>
        </w:rPr>
      </w:pPr>
      <w:r w:rsidRPr="00974E8D">
        <w:rPr>
          <w:rFonts w:ascii="Times New Roman" w:hAnsi="Times New Roman"/>
          <w:lang w:eastAsia="ru-RU"/>
        </w:rPr>
        <w:t xml:space="preserve">КТРУ: </w:t>
      </w:r>
      <w:r w:rsidRPr="004124D7">
        <w:rPr>
          <w:rFonts w:ascii="Times New Roman" w:hAnsi="Times New Roman"/>
          <w:color w:val="0000FF"/>
          <w:lang w:eastAsia="ru-RU"/>
        </w:rPr>
        <w:t>17.22.12.130-0000000</w:t>
      </w:r>
      <w:r w:rsidR="00110017">
        <w:rPr>
          <w:rFonts w:ascii="Times New Roman" w:hAnsi="Times New Roman"/>
          <w:color w:val="0000FF"/>
          <w:lang w:eastAsia="ru-RU"/>
        </w:rPr>
        <w:t>2</w:t>
      </w:r>
    </w:p>
    <w:p w:rsidR="001F177E" w:rsidRPr="00BB5ADC" w:rsidRDefault="001F177E" w:rsidP="001F177E">
      <w:pPr>
        <w:keepNext/>
        <w:tabs>
          <w:tab w:val="left" w:pos="708"/>
        </w:tabs>
        <w:suppressAutoHyphens/>
        <w:spacing w:after="0" w:line="240" w:lineRule="auto"/>
        <w:ind w:firstLine="709"/>
        <w:jc w:val="center"/>
        <w:rPr>
          <w:rFonts w:ascii="Times New Roman" w:eastAsia="Times New Roman" w:hAnsi="Times New Roman"/>
          <w:b/>
          <w:kern w:val="2"/>
          <w:lang w:eastAsia="ar-SA"/>
        </w:rPr>
      </w:pPr>
      <w:r w:rsidRPr="00BB5ADC">
        <w:rPr>
          <w:rFonts w:ascii="Times New Roman" w:eastAsia="Times New Roman" w:hAnsi="Times New Roman"/>
          <w:b/>
          <w:kern w:val="2"/>
          <w:lang w:eastAsia="ar-SA"/>
        </w:rPr>
        <w:t>Требования к размерам, упаковке, отгрузке Товара</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Маркировка упаковки Товара должна включать:</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условное обозначение группы Товара, товарную марку обозначение номера изделия</w:t>
      </w:r>
      <w:r w:rsidR="006C3BE5">
        <w:rPr>
          <w:rFonts w:ascii="Times New Roman" w:eastAsia="Times New Roman" w:hAnsi="Times New Roman"/>
          <w:kern w:val="2"/>
          <w:lang w:eastAsia="ar-SA"/>
        </w:rPr>
        <w:t>;</w:t>
      </w:r>
      <w:r w:rsidRPr="00BB5ADC">
        <w:rPr>
          <w:rFonts w:ascii="Times New Roman" w:eastAsia="Times New Roman" w:hAnsi="Times New Roman"/>
          <w:kern w:val="2"/>
          <w:lang w:eastAsia="ar-SA"/>
        </w:rPr>
        <w:t xml:space="preserve">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страну-изготовителя;</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 наименование предприятия-изготовителя, юридический адрес, товарный знак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номер артикула</w:t>
      </w:r>
      <w:r w:rsidR="006C3BE5">
        <w:rPr>
          <w:rFonts w:ascii="Times New Roman" w:eastAsia="Times New Roman" w:hAnsi="Times New Roman"/>
          <w:kern w:val="2"/>
          <w:lang w:eastAsia="ar-SA"/>
        </w:rPr>
        <w:t>;</w:t>
      </w:r>
      <w:r w:rsidRPr="00BB5ADC">
        <w:rPr>
          <w:rFonts w:ascii="Times New Roman" w:eastAsia="Times New Roman" w:hAnsi="Times New Roman"/>
          <w:kern w:val="2"/>
          <w:lang w:eastAsia="ar-SA"/>
        </w:rPr>
        <w:t xml:space="preserve">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количество Товара в упаковке;</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дату (месяц, год) изготовления;</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гарантийный срок годности;</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указания по утилизации: «Не бросать в канализацию»;</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штриховой код изделия</w:t>
      </w:r>
      <w:r w:rsidR="006C3BE5">
        <w:rPr>
          <w:rFonts w:ascii="Times New Roman" w:eastAsia="Times New Roman" w:hAnsi="Times New Roman"/>
          <w:kern w:val="2"/>
          <w:lang w:eastAsia="ar-SA"/>
        </w:rPr>
        <w:t>.</w:t>
      </w:r>
      <w:r w:rsidRPr="00BB5ADC">
        <w:rPr>
          <w:rFonts w:ascii="Times New Roman" w:eastAsia="Times New Roman" w:hAnsi="Times New Roman"/>
          <w:kern w:val="2"/>
          <w:lang w:eastAsia="ar-SA"/>
        </w:rPr>
        <w:t xml:space="preserve"> </w:t>
      </w:r>
      <w:r w:rsidRPr="00BB5ADC">
        <w:rPr>
          <w:rFonts w:ascii="Times New Roman" w:eastAsia="Times New Roman" w:hAnsi="Times New Roman"/>
          <w:kern w:val="2"/>
          <w:lang w:eastAsia="ar-SA"/>
        </w:rPr>
        <w:tab/>
      </w:r>
    </w:p>
    <w:p w:rsidR="001F177E" w:rsidRPr="00BB5ADC" w:rsidRDefault="001F177E" w:rsidP="001F177E">
      <w:pPr>
        <w:keepNext/>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110017" w:rsidRDefault="00110017" w:rsidP="001F177E">
      <w:pPr>
        <w:shd w:val="clear" w:color="auto" w:fill="FFFFFF"/>
        <w:tabs>
          <w:tab w:val="left" w:pos="0"/>
        </w:tabs>
        <w:suppressAutoHyphens/>
        <w:autoSpaceDE w:val="0"/>
        <w:spacing w:after="0" w:line="240" w:lineRule="auto"/>
        <w:ind w:firstLine="709"/>
        <w:jc w:val="center"/>
        <w:rPr>
          <w:rFonts w:ascii="Times New Roman" w:eastAsia="Times New Roman" w:hAnsi="Times New Roman"/>
          <w:b/>
          <w:bCs/>
          <w:kern w:val="2"/>
          <w:lang w:eastAsia="ar-SA"/>
        </w:rPr>
      </w:pPr>
    </w:p>
    <w:p w:rsidR="001F177E" w:rsidRPr="00BB5ADC" w:rsidRDefault="001F177E" w:rsidP="001F177E">
      <w:pPr>
        <w:shd w:val="clear" w:color="auto" w:fill="FFFFFF"/>
        <w:tabs>
          <w:tab w:val="left" w:pos="0"/>
        </w:tabs>
        <w:suppressAutoHyphens/>
        <w:autoSpaceDE w:val="0"/>
        <w:spacing w:after="0" w:line="240" w:lineRule="auto"/>
        <w:ind w:firstLine="709"/>
        <w:jc w:val="center"/>
        <w:rPr>
          <w:rFonts w:ascii="Times New Roman" w:eastAsia="Times New Roman" w:hAnsi="Times New Roman"/>
          <w:b/>
          <w:bCs/>
          <w:kern w:val="2"/>
          <w:lang w:eastAsia="ar-SA"/>
        </w:rPr>
      </w:pPr>
      <w:r w:rsidRPr="00BB5ADC">
        <w:rPr>
          <w:rFonts w:ascii="Times New Roman" w:eastAsia="Times New Roman" w:hAnsi="Times New Roman"/>
          <w:b/>
          <w:bCs/>
          <w:kern w:val="2"/>
          <w:lang w:eastAsia="ar-SA"/>
        </w:rPr>
        <w:t>Требования к безопасности Товара</w:t>
      </w:r>
    </w:p>
    <w:p w:rsidR="001F177E" w:rsidRPr="00BB5ADC" w:rsidRDefault="001F177E" w:rsidP="001F177E">
      <w:pPr>
        <w:autoSpaceDE w:val="0"/>
        <w:autoSpaceDN w:val="0"/>
        <w:adjustRightInd w:val="0"/>
        <w:spacing w:after="0" w:line="240" w:lineRule="auto"/>
        <w:ind w:firstLine="709"/>
        <w:jc w:val="both"/>
        <w:rPr>
          <w:rFonts w:ascii="Times New Roman" w:hAnsi="Times New Roman"/>
          <w:lang w:eastAsia="ru-RU"/>
        </w:rPr>
      </w:pPr>
      <w:r w:rsidRPr="00BB5ADC">
        <w:rPr>
          <w:rFonts w:ascii="Times New Roman" w:eastAsia="Times New Roman" w:hAnsi="Times New Roman"/>
          <w:kern w:val="2"/>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BB5ADC">
        <w:rPr>
          <w:rFonts w:ascii="Times New Roman" w:hAnsi="Times New Roman"/>
          <w:lang w:eastAsia="ru-RU"/>
        </w:rPr>
        <w:t>ГОСТ Р 52770-2016.</w:t>
      </w:r>
    </w:p>
    <w:p w:rsidR="001F177E" w:rsidRPr="00BB5ADC" w:rsidRDefault="001F177E" w:rsidP="001F177E">
      <w:pPr>
        <w:keepNext/>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Товар должен иметь действующие регистрационные удостоверения, выданные Федеральной службой по надзору в сфере здравоохранения. </w:t>
      </w:r>
    </w:p>
    <w:p w:rsidR="001F177E" w:rsidRPr="00BB5ADC" w:rsidRDefault="001F177E" w:rsidP="001F177E">
      <w:pPr>
        <w:autoSpaceDE w:val="0"/>
        <w:autoSpaceDN w:val="0"/>
        <w:adjustRightInd w:val="0"/>
        <w:spacing w:after="0" w:line="240" w:lineRule="auto"/>
        <w:ind w:firstLine="709"/>
        <w:jc w:val="both"/>
        <w:rPr>
          <w:rFonts w:ascii="Times New Roman" w:eastAsia="Times New Roman" w:hAnsi="Times New Roman"/>
          <w:lang w:eastAsia="ar-SA"/>
        </w:rPr>
      </w:pPr>
      <w:r w:rsidRPr="00BB5ADC">
        <w:rPr>
          <w:rFonts w:ascii="Times New Roman" w:eastAsia="Times New Roman" w:hAnsi="Times New Roman"/>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1F177E" w:rsidRPr="00BB5ADC" w:rsidRDefault="001F177E" w:rsidP="001F177E">
      <w:pPr>
        <w:tabs>
          <w:tab w:val="left" w:pos="8160"/>
        </w:tabs>
        <w:spacing w:after="0" w:line="240" w:lineRule="auto"/>
        <w:ind w:firstLine="709"/>
        <w:jc w:val="both"/>
        <w:rPr>
          <w:rFonts w:ascii="Times New Roman" w:eastAsia="Times New Roman" w:hAnsi="Times New Roman"/>
          <w:lang w:eastAsia="ru-RU"/>
        </w:rPr>
      </w:pPr>
      <w:r w:rsidRPr="00BB5ADC">
        <w:rPr>
          <w:rFonts w:ascii="Times New Roman" w:eastAsia="Times New Roman" w:hAnsi="Times New Roman"/>
          <w:lang w:eastAsia="ru-RU"/>
        </w:rPr>
        <w:t>При поставке партии впитывающих простыней (пеленок) должны быть предоставлены:</w:t>
      </w:r>
    </w:p>
    <w:p w:rsidR="001F177E" w:rsidRDefault="001F177E" w:rsidP="001F177E">
      <w:pPr>
        <w:tabs>
          <w:tab w:val="left" w:pos="8160"/>
        </w:tabs>
        <w:spacing w:after="0" w:line="240" w:lineRule="auto"/>
        <w:ind w:firstLine="709"/>
        <w:jc w:val="both"/>
        <w:rPr>
          <w:rFonts w:ascii="Times New Roman" w:eastAsia="Times New Roman" w:hAnsi="Times New Roman"/>
          <w:lang w:eastAsia="ru-RU"/>
        </w:rPr>
      </w:pPr>
      <w:r w:rsidRPr="00BB5ADC">
        <w:rPr>
          <w:rFonts w:ascii="Times New Roman" w:eastAsia="Times New Roman" w:hAnsi="Times New Roman"/>
          <w:lang w:eastAsia="ru-RU"/>
        </w:rPr>
        <w:t>- утвержденные образцы-эталоны;</w:t>
      </w:r>
    </w:p>
    <w:p w:rsidR="00E14A0D" w:rsidRPr="00E14A0D" w:rsidRDefault="00E14A0D" w:rsidP="00E14A0D">
      <w:pPr>
        <w:spacing w:after="0" w:line="240" w:lineRule="auto"/>
        <w:ind w:firstLine="709"/>
        <w:jc w:val="both"/>
        <w:rPr>
          <w:rFonts w:ascii="Times New Roman" w:hAnsi="Times New Roman"/>
          <w:lang w:eastAsia="ru-RU"/>
        </w:rPr>
      </w:pPr>
      <w:r w:rsidRPr="00922422">
        <w:rPr>
          <w:rFonts w:ascii="Times New Roman" w:hAnsi="Times New Roman"/>
          <w:kern w:val="2"/>
        </w:rPr>
        <w:t xml:space="preserve">Впитывающие простыни (пеленки) должны соответствовать требованиям стандартов серии </w:t>
      </w:r>
      <w:r w:rsidRPr="00922422">
        <w:rPr>
          <w:rFonts w:ascii="Times New Roman" w:hAnsi="Times New Roman"/>
        </w:rPr>
        <w:t>ГОСТ Р 57762-2017 «Национальный стандарт Российской Федерации. Белье абсорбирующее для инвалидов. Общие технические условия».</w:t>
      </w:r>
    </w:p>
    <w:p w:rsidR="001F177E" w:rsidRPr="00E14A0D" w:rsidRDefault="001F177E" w:rsidP="00E14A0D">
      <w:pPr>
        <w:tabs>
          <w:tab w:val="left" w:pos="708"/>
        </w:tabs>
        <w:suppressAutoHyphens/>
        <w:spacing w:after="0" w:line="240" w:lineRule="auto"/>
        <w:ind w:firstLine="709"/>
        <w:jc w:val="both"/>
        <w:rPr>
          <w:rFonts w:ascii="Times New Roman" w:eastAsia="Times New Roman" w:hAnsi="Times New Roman"/>
          <w:kern w:val="1"/>
          <w:lang w:eastAsia="ar-SA"/>
        </w:rPr>
      </w:pPr>
      <w:r w:rsidRPr="00E14A0D">
        <w:rPr>
          <w:rFonts w:ascii="Times New Roman" w:eastAsia="Times New Roman" w:hAnsi="Times New Roman"/>
          <w:kern w:val="1"/>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1639"/>
        <w:gridCol w:w="1724"/>
        <w:gridCol w:w="3439"/>
        <w:gridCol w:w="974"/>
        <w:gridCol w:w="1050"/>
        <w:gridCol w:w="1393"/>
      </w:tblGrid>
      <w:tr w:rsidR="00974E8D" w:rsidRPr="001F177E" w:rsidTr="00922422">
        <w:trPr>
          <w:tblCellSpacing w:w="0" w:type="dxa"/>
          <w:jc w:val="center"/>
        </w:trPr>
        <w:tc>
          <w:tcPr>
            <w:tcW w:w="1639" w:type="dxa"/>
            <w:tcBorders>
              <w:top w:val="nil"/>
              <w:left w:val="nil"/>
              <w:bottom w:val="nil"/>
              <w:right w:val="nil"/>
            </w:tcBorders>
            <w:vAlign w:val="center"/>
          </w:tcPr>
          <w:p w:rsidR="00F31E1F" w:rsidRPr="001F177E" w:rsidRDefault="00B72E5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Наименование, Товара¹</w:t>
            </w:r>
          </w:p>
        </w:tc>
        <w:tc>
          <w:tcPr>
            <w:tcW w:w="1724" w:type="dxa"/>
            <w:tcBorders>
              <w:top w:val="nil"/>
              <w:left w:val="single" w:sz="4" w:space="0" w:color="auto"/>
              <w:bottom w:val="nil"/>
              <w:right w:val="single" w:sz="4" w:space="0" w:color="auto"/>
            </w:tcBorders>
            <w:shd w:val="clear" w:color="auto" w:fill="auto"/>
            <w:vAlign w:val="center"/>
          </w:tcPr>
          <w:p w:rsidR="00F31E1F" w:rsidRPr="001F177E" w:rsidRDefault="00B72E5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Наименование по КТРУ²</w:t>
            </w:r>
          </w:p>
        </w:tc>
        <w:tc>
          <w:tcPr>
            <w:tcW w:w="3439" w:type="dxa"/>
            <w:tcBorders>
              <w:top w:val="nil"/>
              <w:left w:val="nil"/>
              <w:bottom w:val="nil"/>
              <w:right w:val="single" w:sz="4" w:space="0" w:color="auto"/>
            </w:tcBorders>
            <w:shd w:val="clear" w:color="auto" w:fill="auto"/>
            <w:vAlign w:val="center"/>
          </w:tcPr>
          <w:p w:rsidR="00F31E1F" w:rsidRPr="001F177E" w:rsidRDefault="00A65F6D"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974" w:type="dxa"/>
            <w:tcBorders>
              <w:top w:val="nil"/>
              <w:left w:val="nil"/>
              <w:bottom w:val="nil"/>
              <w:right w:val="single" w:sz="4" w:space="0" w:color="auto"/>
            </w:tcBorders>
            <w:shd w:val="clear" w:color="auto" w:fill="auto"/>
            <w:vAlign w:val="center"/>
          </w:tcPr>
          <w:p w:rsidR="00F31E1F" w:rsidRPr="001F177E" w:rsidRDefault="00BD076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Кол-во, штук</w:t>
            </w:r>
          </w:p>
        </w:tc>
        <w:tc>
          <w:tcPr>
            <w:tcW w:w="1050" w:type="dxa"/>
            <w:tcBorders>
              <w:top w:val="nil"/>
              <w:left w:val="nil"/>
              <w:bottom w:val="nil"/>
              <w:right w:val="single" w:sz="4" w:space="0" w:color="auto"/>
            </w:tcBorders>
            <w:vAlign w:val="center"/>
          </w:tcPr>
          <w:p w:rsidR="00F31E1F" w:rsidRPr="001F177E" w:rsidRDefault="00F31E1F"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Цена за ед. руб.</w:t>
            </w:r>
          </w:p>
        </w:tc>
        <w:tc>
          <w:tcPr>
            <w:tcW w:w="1393" w:type="dxa"/>
            <w:tcBorders>
              <w:top w:val="nil"/>
              <w:left w:val="nil"/>
              <w:bottom w:val="nil"/>
              <w:right w:val="nil"/>
            </w:tcBorders>
            <w:vAlign w:val="center"/>
          </w:tcPr>
          <w:p w:rsidR="00F31E1F" w:rsidRPr="001F177E" w:rsidRDefault="00F31E1F"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Итого, руб.</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napToGrid w:val="0"/>
              <w:spacing w:after="0" w:line="240" w:lineRule="auto"/>
              <w:jc w:val="center"/>
              <w:rPr>
                <w:rFonts w:ascii="Times New Roman" w:hAnsi="Times New Roman"/>
              </w:rPr>
            </w:pPr>
            <w:r w:rsidRPr="001F177E">
              <w:rPr>
                <w:rFonts w:ascii="Times New Roman" w:hAnsi="Times New Roman"/>
              </w:rPr>
              <w:t>Впитывающие простыни (пеленки)</w:t>
            </w:r>
          </w:p>
          <w:p w:rsidR="001F177E" w:rsidRPr="001F177E" w:rsidRDefault="001F177E" w:rsidP="001F177E">
            <w:pPr>
              <w:snapToGrid w:val="0"/>
              <w:spacing w:after="0" w:line="240" w:lineRule="auto"/>
              <w:jc w:val="center"/>
              <w:rPr>
                <w:rFonts w:ascii="Times New Roman" w:hAnsi="Times New Roman"/>
                <w:lang w:eastAsia="ru-RU"/>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t>17.22.12.130-00000002</w:t>
            </w:r>
          </w:p>
          <w:p w:rsidR="001F177E" w:rsidRPr="001F177E" w:rsidRDefault="001F177E" w:rsidP="001F177E">
            <w:pPr>
              <w:snapToGrid w:val="0"/>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Пеленка 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 xml:space="preserve">Впитывающие пеленки многослойные. Верхний слой из нетканого материала, нижний слой из полимерной гидрофобной </w:t>
            </w:r>
            <w:r w:rsidRPr="001F177E">
              <w:rPr>
                <w:rFonts w:ascii="Times New Roman" w:hAnsi="Times New Roman"/>
              </w:rPr>
              <w:lastRenderedPageBreak/>
              <w:t>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1F177E" w:rsidRPr="001F177E" w:rsidRDefault="001F177E" w:rsidP="001F177E">
            <w:pPr>
              <w:autoSpaceDE w:val="0"/>
              <w:autoSpaceDN w:val="0"/>
              <w:adjustRightInd w:val="0"/>
              <w:spacing w:after="0" w:line="240" w:lineRule="auto"/>
              <w:rPr>
                <w:rFonts w:ascii="Times New Roman" w:hAnsi="Times New Roman"/>
                <w:lang w:eastAsia="ru-RU"/>
              </w:rPr>
            </w:pPr>
            <w:r w:rsidRPr="001F177E">
              <w:rPr>
                <w:rFonts w:ascii="Times New Roman" w:hAnsi="Times New Roman"/>
              </w:rPr>
              <w:t xml:space="preserve">Впитываемость  </w:t>
            </w:r>
            <w:r w:rsidRPr="001F177E">
              <w:rPr>
                <w:rFonts w:ascii="Times New Roman" w:hAnsi="Times New Roman"/>
                <w:lang w:eastAsia="ru-RU"/>
              </w:rPr>
              <w:t>от 1200 до 1900 мл.*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Размер не менее 60x90 см.*</w:t>
            </w:r>
          </w:p>
        </w:tc>
        <w:tc>
          <w:tcPr>
            <w:tcW w:w="974" w:type="dxa"/>
            <w:tcBorders>
              <w:left w:val="outset" w:sz="6" w:space="0" w:color="auto"/>
            </w:tcBorders>
          </w:tcPr>
          <w:p w:rsidR="001F177E" w:rsidRPr="001F177E" w:rsidRDefault="003E0183"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23000</w:t>
            </w:r>
            <w:r w:rsidR="00922422">
              <w:rPr>
                <w:rFonts w:ascii="Times New Roman" w:eastAsia="Times New Roman" w:hAnsi="Times New Roman"/>
                <w:lang w:eastAsia="ru-RU"/>
              </w:rPr>
              <w:t>0</w:t>
            </w:r>
          </w:p>
        </w:tc>
        <w:tc>
          <w:tcPr>
            <w:tcW w:w="1050" w:type="dxa"/>
            <w:tcBorders>
              <w:left w:val="outset" w:sz="6" w:space="0" w:color="auto"/>
            </w:tcBorders>
          </w:tcPr>
          <w:p w:rsidR="001F177E" w:rsidRPr="001F177E" w:rsidRDefault="001F177E" w:rsidP="000C3E54">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3E0183">
              <w:rPr>
                <w:rFonts w:ascii="Times New Roman" w:eastAsia="Times New Roman" w:hAnsi="Times New Roman"/>
                <w:lang w:eastAsia="ru-RU"/>
              </w:rPr>
              <w:t>12,4</w:t>
            </w:r>
            <w:r w:rsidR="000C3E54">
              <w:rPr>
                <w:rFonts w:ascii="Times New Roman" w:eastAsia="Times New Roman" w:hAnsi="Times New Roman"/>
                <w:lang w:eastAsia="ru-RU"/>
              </w:rPr>
              <w:t>5</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0C3E54"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2863500,00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pacing w:after="0" w:line="240" w:lineRule="auto"/>
              <w:jc w:val="center"/>
              <w:rPr>
                <w:rFonts w:ascii="Times New Roman" w:hAnsi="Times New Roman"/>
              </w:rPr>
            </w:pPr>
            <w:r w:rsidRPr="001F177E">
              <w:rPr>
                <w:rFonts w:ascii="Times New Roman" w:hAnsi="Times New Roman"/>
              </w:rPr>
              <w:t>Впитывающие простыни (пеленки)</w:t>
            </w:r>
          </w:p>
          <w:p w:rsidR="001F177E" w:rsidRPr="001F177E" w:rsidRDefault="001F177E" w:rsidP="00922422">
            <w:pPr>
              <w:spacing w:after="0" w:line="240" w:lineRule="auto"/>
              <w:jc w:val="center"/>
              <w:rPr>
                <w:rFonts w:ascii="Times New Roman" w:hAnsi="Times New Roman"/>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t>17.22.12.130-00000002</w:t>
            </w:r>
          </w:p>
          <w:p w:rsidR="001F177E" w:rsidRPr="001F177E" w:rsidRDefault="001F177E" w:rsidP="001F177E">
            <w:pPr>
              <w:snapToGrid w:val="0"/>
              <w:spacing w:after="0" w:line="240" w:lineRule="auto"/>
              <w:jc w:val="center"/>
              <w:rPr>
                <w:rFonts w:ascii="Times New Roman" w:hAnsi="Times New Roman"/>
              </w:rPr>
            </w:pPr>
            <w:r w:rsidRPr="001F177E">
              <w:rPr>
                <w:rFonts w:ascii="Times New Roman" w:eastAsia="Times New Roman" w:hAnsi="Times New Roman"/>
                <w:kern w:val="2"/>
                <w:lang w:eastAsia="ar-SA"/>
              </w:rPr>
              <w:t>Пеленка 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Впитываемость от 800 до 1200 мл.*</w:t>
            </w:r>
          </w:p>
          <w:p w:rsidR="001F177E" w:rsidRPr="001F177E" w:rsidRDefault="001F177E" w:rsidP="001F177E">
            <w:pPr>
              <w:spacing w:after="0" w:line="240" w:lineRule="auto"/>
              <w:rPr>
                <w:rFonts w:ascii="Times New Roman" w:hAnsi="Times New Roman"/>
              </w:rPr>
            </w:pPr>
            <w:r w:rsidRPr="001F177E">
              <w:rPr>
                <w:rFonts w:ascii="Times New Roman" w:hAnsi="Times New Roman"/>
              </w:rPr>
              <w:t>размер не менее 60x60 см.*</w:t>
            </w:r>
          </w:p>
        </w:tc>
        <w:tc>
          <w:tcPr>
            <w:tcW w:w="974" w:type="dxa"/>
            <w:tcBorders>
              <w:left w:val="outset" w:sz="6" w:space="0" w:color="auto"/>
            </w:tcBorders>
          </w:tcPr>
          <w:p w:rsidR="001F177E" w:rsidRPr="001F177E" w:rsidRDefault="003E0183"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13500</w:t>
            </w:r>
          </w:p>
        </w:tc>
        <w:tc>
          <w:tcPr>
            <w:tcW w:w="1050" w:type="dxa"/>
            <w:tcBorders>
              <w:left w:val="outset" w:sz="6" w:space="0" w:color="auto"/>
            </w:tcBorders>
          </w:tcPr>
          <w:p w:rsidR="001F177E" w:rsidRPr="001F177E" w:rsidRDefault="001F177E" w:rsidP="003E0183">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3E0183">
              <w:rPr>
                <w:rFonts w:ascii="Times New Roman" w:eastAsia="Times New Roman" w:hAnsi="Times New Roman"/>
                <w:lang w:eastAsia="ru-RU"/>
              </w:rPr>
              <w:t>11,40</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2B2C5C"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153900,00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pacing w:after="0" w:line="240" w:lineRule="auto"/>
              <w:jc w:val="center"/>
              <w:rPr>
                <w:rFonts w:ascii="Times New Roman" w:hAnsi="Times New Roman"/>
              </w:rPr>
            </w:pPr>
            <w:r w:rsidRPr="001F177E">
              <w:rPr>
                <w:rFonts w:ascii="Times New Roman" w:hAnsi="Times New Roman"/>
              </w:rPr>
              <w:t xml:space="preserve">Впитывающие простыни (пеленки) </w:t>
            </w:r>
          </w:p>
          <w:p w:rsidR="001F177E" w:rsidRPr="001F177E" w:rsidRDefault="001F177E" w:rsidP="001F177E">
            <w:pPr>
              <w:spacing w:after="0" w:line="240" w:lineRule="auto"/>
              <w:jc w:val="center"/>
              <w:rPr>
                <w:rFonts w:ascii="Times New Roman" w:hAnsi="Times New Roman"/>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t>17.22.12.130-00000002</w:t>
            </w:r>
          </w:p>
          <w:p w:rsidR="001F177E" w:rsidRPr="001F177E" w:rsidRDefault="001F177E" w:rsidP="001F177E">
            <w:pPr>
              <w:snapToGrid w:val="0"/>
              <w:spacing w:after="0" w:line="240" w:lineRule="auto"/>
              <w:jc w:val="center"/>
              <w:rPr>
                <w:rFonts w:ascii="Times New Roman" w:hAnsi="Times New Roman"/>
              </w:rPr>
            </w:pPr>
            <w:r w:rsidRPr="001F177E">
              <w:rPr>
                <w:rFonts w:ascii="Times New Roman" w:eastAsia="Times New Roman" w:hAnsi="Times New Roman"/>
                <w:kern w:val="2"/>
                <w:lang w:eastAsia="ar-SA"/>
              </w:rPr>
              <w:t>Пеленка 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 xml:space="preserve">Внешний (нижний) слой из водонепроницаемой и противоскользящей пленки, что обеспечивает защиту от протеканий и произвольного </w:t>
            </w:r>
            <w:r w:rsidRPr="001F177E">
              <w:rPr>
                <w:rFonts w:ascii="Times New Roman" w:hAnsi="Times New Roman"/>
              </w:rPr>
              <w:lastRenderedPageBreak/>
              <w:t>перемещения пеленки по поверхности (нескользящий материал).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Впитываемость от 400 до 500 мл.*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размер не менее 40x60 см.*</w:t>
            </w:r>
          </w:p>
        </w:tc>
        <w:tc>
          <w:tcPr>
            <w:tcW w:w="974" w:type="dxa"/>
            <w:tcBorders>
              <w:left w:val="outset" w:sz="6" w:space="0" w:color="auto"/>
            </w:tcBorders>
          </w:tcPr>
          <w:p w:rsidR="001F177E" w:rsidRPr="001F177E" w:rsidRDefault="003E0183"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4800</w:t>
            </w:r>
          </w:p>
        </w:tc>
        <w:tc>
          <w:tcPr>
            <w:tcW w:w="1050" w:type="dxa"/>
            <w:tcBorders>
              <w:left w:val="outset" w:sz="6" w:space="0" w:color="auto"/>
            </w:tcBorders>
          </w:tcPr>
          <w:p w:rsidR="001F177E" w:rsidRPr="001F177E" w:rsidRDefault="001F177E" w:rsidP="003E0183">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3E0183">
              <w:rPr>
                <w:rFonts w:ascii="Times New Roman" w:eastAsia="Times New Roman" w:hAnsi="Times New Roman"/>
                <w:lang w:eastAsia="ru-RU"/>
              </w:rPr>
              <w:t>10,40</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2B2C5C"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49920,00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1639" w:type="dxa"/>
            <w:tcBorders>
              <w:right w:val="outset" w:sz="6" w:space="0" w:color="auto"/>
            </w:tcBorders>
          </w:tcPr>
          <w:p w:rsidR="001F177E" w:rsidRPr="001F177E" w:rsidRDefault="001F177E" w:rsidP="001F177E">
            <w:pPr>
              <w:spacing w:after="0" w:line="240" w:lineRule="auto"/>
              <w:jc w:val="both"/>
              <w:rPr>
                <w:rFonts w:ascii="Times New Roman" w:eastAsia="Times New Roman" w:hAnsi="Times New Roman"/>
                <w:lang w:eastAsia="ar-SA"/>
              </w:rPr>
            </w:pPr>
          </w:p>
        </w:tc>
        <w:tc>
          <w:tcPr>
            <w:tcW w:w="1724" w:type="dxa"/>
            <w:tcBorders>
              <w:right w:val="outset" w:sz="6" w:space="0" w:color="auto"/>
            </w:tcBorders>
            <w:vAlign w:val="center"/>
          </w:tcPr>
          <w:p w:rsidR="001F177E" w:rsidRPr="001F177E" w:rsidRDefault="001F177E" w:rsidP="001F177E">
            <w:pPr>
              <w:spacing w:after="0" w:line="240" w:lineRule="auto"/>
              <w:jc w:val="center"/>
              <w:rPr>
                <w:rFonts w:ascii="Times New Roman" w:eastAsia="Times New Roman" w:hAnsi="Times New Roman"/>
                <w:lang w:eastAsia="ar-SA"/>
              </w:rPr>
            </w:pPr>
            <w:r w:rsidRPr="001F177E">
              <w:rPr>
                <w:rFonts w:ascii="Times New Roman" w:eastAsia="Times New Roman" w:hAnsi="Times New Roman"/>
                <w:lang w:eastAsia="ar-SA"/>
              </w:rPr>
              <w:t>ИТОГО:</w:t>
            </w:r>
          </w:p>
        </w:tc>
        <w:tc>
          <w:tcPr>
            <w:tcW w:w="3439" w:type="dxa"/>
            <w:tcBorders>
              <w:left w:val="outset" w:sz="6" w:space="0" w:color="auto"/>
            </w:tcBorders>
            <w:vAlign w:val="center"/>
          </w:tcPr>
          <w:p w:rsidR="001F177E" w:rsidRPr="001F177E" w:rsidRDefault="001F177E" w:rsidP="001F177E">
            <w:pPr>
              <w:autoSpaceDE w:val="0"/>
              <w:autoSpaceDN w:val="0"/>
              <w:adjustRightInd w:val="0"/>
              <w:spacing w:after="0" w:line="240" w:lineRule="auto"/>
              <w:jc w:val="center"/>
              <w:rPr>
                <w:rFonts w:ascii="Times New Roman" w:hAnsi="Times New Roman"/>
              </w:rPr>
            </w:pPr>
          </w:p>
        </w:tc>
        <w:tc>
          <w:tcPr>
            <w:tcW w:w="974" w:type="dxa"/>
            <w:tcBorders>
              <w:left w:val="outset" w:sz="6" w:space="0" w:color="auto"/>
            </w:tcBorders>
            <w:vAlign w:val="center"/>
          </w:tcPr>
          <w:p w:rsidR="001F177E" w:rsidRPr="001F177E" w:rsidRDefault="001F177E" w:rsidP="001F177E">
            <w:pPr>
              <w:spacing w:after="0" w:line="240" w:lineRule="auto"/>
              <w:jc w:val="center"/>
              <w:rPr>
                <w:rFonts w:ascii="Times New Roman" w:hAnsi="Times New Roman"/>
              </w:rPr>
            </w:pPr>
            <w:r w:rsidRPr="001F177E">
              <w:rPr>
                <w:rFonts w:ascii="Times New Roman" w:hAnsi="Times New Roman"/>
              </w:rPr>
              <w:t>248300</w:t>
            </w:r>
          </w:p>
        </w:tc>
        <w:tc>
          <w:tcPr>
            <w:tcW w:w="1050" w:type="dxa"/>
            <w:tcBorders>
              <w:left w:val="outset" w:sz="6" w:space="0" w:color="auto"/>
            </w:tcBorders>
            <w:vAlign w:val="center"/>
          </w:tcPr>
          <w:p w:rsidR="001F177E" w:rsidRPr="001F177E" w:rsidRDefault="001F177E" w:rsidP="001F177E">
            <w:pPr>
              <w:spacing w:after="0" w:line="240" w:lineRule="auto"/>
              <w:jc w:val="center"/>
              <w:rPr>
                <w:rFonts w:ascii="Times New Roman" w:hAnsi="Times New Roman"/>
              </w:rPr>
            </w:pPr>
          </w:p>
        </w:tc>
        <w:tc>
          <w:tcPr>
            <w:tcW w:w="1393" w:type="dxa"/>
            <w:tcBorders>
              <w:left w:val="outset" w:sz="6" w:space="0" w:color="auto"/>
            </w:tcBorders>
            <w:vAlign w:val="center"/>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0C3E54" w:rsidP="001F177E">
            <w:pPr>
              <w:spacing w:after="0" w:line="240" w:lineRule="auto"/>
              <w:jc w:val="center"/>
              <w:rPr>
                <w:rFonts w:ascii="Times New Roman" w:hAnsi="Times New Roman"/>
              </w:rPr>
            </w:pPr>
            <w:r>
              <w:rPr>
                <w:rFonts w:ascii="Times New Roman" w:eastAsia="Times New Roman" w:hAnsi="Times New Roman"/>
                <w:lang w:eastAsia="ru-RU"/>
              </w:rPr>
              <w:t>3067320,00</w:t>
            </w:r>
          </w:p>
        </w:tc>
      </w:tr>
    </w:tbl>
    <w:p w:rsidR="005B5A03" w:rsidRPr="009173CF" w:rsidRDefault="005B5A03" w:rsidP="005B5A03">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 xml:space="preserve">Остаточный срок годности Товара составляет </w:t>
      </w:r>
      <w:r w:rsidRPr="004B34CF">
        <w:rPr>
          <w:rFonts w:ascii="Times New Roman" w:hAnsi="Times New Roman"/>
          <w:color w:val="0000FF"/>
        </w:rPr>
        <w:t>не менее 12 (двенадцати)</w:t>
      </w:r>
      <w:r w:rsidRPr="009173CF">
        <w:rPr>
          <w:rFonts w:ascii="Times New Roman" w:hAnsi="Times New Roman"/>
        </w:rPr>
        <w:t xml:space="preserve"> месяцев со дня подписания Акта приема-передачи технического средства реабилитации (товара) Получателем</w:t>
      </w:r>
      <w:r w:rsidR="00DC4FFF">
        <w:rPr>
          <w:rFonts w:ascii="Times New Roman" w:hAnsi="Times New Roman"/>
        </w:rPr>
        <w:t>.</w:t>
      </w:r>
    </w:p>
    <w:p w:rsidR="005B5A03" w:rsidRPr="00A73DD4" w:rsidRDefault="005B5A03" w:rsidP="005B5A03">
      <w:pPr>
        <w:widowControl w:val="0"/>
        <w:suppressAutoHyphens/>
        <w:spacing w:after="0" w:line="240" w:lineRule="auto"/>
        <w:ind w:firstLine="567"/>
        <w:jc w:val="both"/>
        <w:rPr>
          <w:rFonts w:ascii="Times New Roman" w:hAnsi="Times New Roman"/>
          <w:b/>
          <w:kern w:val="2"/>
          <w:lang w:eastAsia="ru-RU"/>
        </w:rPr>
      </w:pPr>
      <w:r w:rsidRPr="00A73DD4">
        <w:rPr>
          <w:rFonts w:ascii="Times New Roman" w:hAnsi="Times New Roman"/>
          <w:b/>
          <w:kern w:val="2"/>
          <w:lang w:eastAsia="ru-RU"/>
        </w:rPr>
        <w:t>Обязательные требования к организации и режиму работы пунктов выдачи:</w:t>
      </w:r>
    </w:p>
    <w:p w:rsidR="005B5A03" w:rsidRPr="00A73DD4" w:rsidRDefault="005B5A03" w:rsidP="005B5A0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A73DD4">
        <w:rPr>
          <w:rFonts w:ascii="Times New Roman" w:eastAsia="Times New Roman" w:hAnsi="Times New Roman"/>
          <w:bCs/>
          <w:kern w:val="2"/>
          <w:lang w:eastAsia="ar-SA"/>
        </w:rPr>
        <w:t xml:space="preserve"> г. Ухта, </w:t>
      </w:r>
      <w:r w:rsidRPr="00A73DD4">
        <w:rPr>
          <w:rFonts w:ascii="Times New Roman" w:hAnsi="Times New Roman"/>
          <w:kern w:val="2"/>
          <w:lang w:eastAsia="ru-RU"/>
        </w:rPr>
        <w:t xml:space="preserve">г. Воркута, г. Печора организовать в течение 3 (трех) календарных дней с даты получения </w:t>
      </w:r>
      <w:r w:rsidRPr="00A73DD4">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A73DD4">
        <w:rPr>
          <w:rFonts w:ascii="Times New Roman" w:hAnsi="Times New Roman"/>
          <w:kern w:val="2"/>
          <w:lang w:eastAsia="ru-RU"/>
        </w:rPr>
        <w:t>уведомить Заказчика о факти</w:t>
      </w:r>
      <w:r w:rsidR="00F839C2">
        <w:rPr>
          <w:rFonts w:ascii="Times New Roman" w:hAnsi="Times New Roman"/>
          <w:kern w:val="2"/>
          <w:lang w:eastAsia="ru-RU"/>
        </w:rPr>
        <w:t xml:space="preserve">ческом открытии пунктов выдачи </w:t>
      </w:r>
      <w:r w:rsidRPr="00A73DD4">
        <w:rPr>
          <w:rFonts w:ascii="Times New Roman" w:hAnsi="Times New Roman"/>
          <w:kern w:val="2"/>
          <w:lang w:eastAsia="ru-RU"/>
        </w:rPr>
        <w:t>и начале работы посредством почтовой, факсимильной или посредством электронной почты.</w:t>
      </w:r>
    </w:p>
    <w:p w:rsidR="005B5A03" w:rsidRPr="00A73DD4" w:rsidRDefault="005B5A03" w:rsidP="005B5A0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5B5A03" w:rsidRPr="00A73DD4" w:rsidRDefault="005B5A03" w:rsidP="005B5A03">
      <w:pPr>
        <w:widowControl w:val="0"/>
        <w:suppressAutoHyphens/>
        <w:autoSpaceDE w:val="0"/>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5B5A03" w:rsidRDefault="005B5A03" w:rsidP="00CF2D3B">
      <w:pPr>
        <w:pStyle w:val="a4"/>
        <w:tabs>
          <w:tab w:val="left" w:pos="708"/>
        </w:tabs>
        <w:suppressAutoHyphens/>
        <w:spacing w:after="0" w:line="240" w:lineRule="auto"/>
        <w:ind w:left="0" w:firstLine="567"/>
        <w:jc w:val="both"/>
        <w:rPr>
          <w:rFonts w:ascii="Times New Roman" w:hAnsi="Times New Roman"/>
        </w:rPr>
      </w:pPr>
    </w:p>
    <w:p w:rsidR="00CF2D3B" w:rsidRPr="00974E8D" w:rsidRDefault="00CF2D3B" w:rsidP="005B5A03">
      <w:pPr>
        <w:widowControl w:val="0"/>
        <w:suppressAutoHyphens/>
        <w:spacing w:after="0" w:line="240" w:lineRule="auto"/>
        <w:ind w:firstLine="426"/>
        <w:jc w:val="both"/>
        <w:rPr>
          <w:rFonts w:ascii="Times New Roman" w:hAnsi="Times New Roman"/>
          <w:sz w:val="18"/>
          <w:szCs w:val="18"/>
        </w:rPr>
      </w:pPr>
      <w:r w:rsidRPr="00974E8D">
        <w:rPr>
          <w:rFonts w:ascii="Times New Roman" w:hAnsi="Times New Roman"/>
          <w:sz w:val="20"/>
          <w:szCs w:val="20"/>
        </w:rPr>
        <w:t>¹</w:t>
      </w:r>
      <w:r w:rsidRPr="00974E8D">
        <w:rPr>
          <w:rFonts w:ascii="Times New Roman" w:hAnsi="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F2D3B" w:rsidRPr="00974E8D" w:rsidRDefault="00CF2D3B" w:rsidP="00905099">
      <w:pPr>
        <w:widowControl w:val="0"/>
        <w:suppressAutoHyphens/>
        <w:autoSpaceDE w:val="0"/>
        <w:autoSpaceDN w:val="0"/>
        <w:adjustRightInd w:val="0"/>
        <w:spacing w:after="0" w:line="240" w:lineRule="auto"/>
        <w:ind w:firstLine="426"/>
        <w:contextualSpacing/>
        <w:jc w:val="both"/>
        <w:rPr>
          <w:rFonts w:ascii="Times New Roman" w:hAnsi="Times New Roman" w:cs="Tahoma"/>
          <w:sz w:val="18"/>
          <w:szCs w:val="18"/>
        </w:rPr>
      </w:pPr>
      <w:r w:rsidRPr="00905099">
        <w:rPr>
          <w:rFonts w:ascii="Times New Roman" w:hAnsi="Times New Roman" w:cs="Tahoma"/>
          <w:sz w:val="20"/>
          <w:szCs w:val="20"/>
        </w:rPr>
        <w:t>²</w:t>
      </w:r>
      <w:r w:rsidRPr="00974E8D">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CF2D3B" w:rsidRPr="00974E8D" w:rsidRDefault="00CF2D3B" w:rsidP="00905099">
      <w:pPr>
        <w:widowControl w:val="0"/>
        <w:suppressAutoHyphens/>
        <w:spacing w:after="0" w:line="240" w:lineRule="auto"/>
        <w:ind w:firstLine="426"/>
        <w:jc w:val="both"/>
        <w:rPr>
          <w:rFonts w:ascii="Times New Roman" w:hAnsi="Times New Roman"/>
          <w:sz w:val="18"/>
          <w:szCs w:val="18"/>
        </w:rPr>
      </w:pPr>
      <w:r w:rsidRPr="00905099">
        <w:rPr>
          <w:rFonts w:ascii="Times New Roman" w:hAnsi="Times New Roman"/>
          <w:sz w:val="20"/>
          <w:szCs w:val="20"/>
        </w:rPr>
        <w:t>³</w:t>
      </w:r>
      <w:r w:rsidRPr="00974E8D">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C2459" w:rsidRPr="00974E8D" w:rsidRDefault="007C2459" w:rsidP="00A965EC"/>
    <w:p w:rsidR="00A4499A" w:rsidRPr="00974E8D" w:rsidRDefault="00A4499A"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p w:rsidR="009D3596" w:rsidRPr="00974E8D" w:rsidRDefault="009D3596" w:rsidP="00BC4A02">
      <w:pPr>
        <w:spacing w:after="0" w:line="240" w:lineRule="auto"/>
        <w:jc w:val="right"/>
        <w:rPr>
          <w:rFonts w:ascii="Times New Roman" w:hAnsi="Times New Roman"/>
          <w:sz w:val="24"/>
          <w:szCs w:val="24"/>
        </w:rPr>
      </w:pPr>
    </w:p>
    <w:sectPr w:rsidR="009D3596" w:rsidRPr="00974E8D" w:rsidSect="00CF2D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FC" w:rsidRDefault="004E3CFC" w:rsidP="00AC48C5">
      <w:pPr>
        <w:spacing w:after="0" w:line="240" w:lineRule="auto"/>
      </w:pPr>
      <w:r>
        <w:separator/>
      </w:r>
    </w:p>
  </w:endnote>
  <w:endnote w:type="continuationSeparator" w:id="0">
    <w:p w:rsidR="004E3CFC" w:rsidRDefault="004E3CFC"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07" w:rsidRDefault="00EB340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69" w:rsidRDefault="00CE0F69">
    <w:pPr>
      <w:pStyle w:val="ab"/>
    </w:pPr>
  </w:p>
  <w:p w:rsidR="00CE0F69" w:rsidRDefault="00CE0F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07" w:rsidRDefault="00EB34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FC" w:rsidRDefault="004E3CFC" w:rsidP="00AC48C5">
      <w:pPr>
        <w:spacing w:after="0" w:line="240" w:lineRule="auto"/>
      </w:pPr>
      <w:r>
        <w:separator/>
      </w:r>
    </w:p>
  </w:footnote>
  <w:footnote w:type="continuationSeparator" w:id="0">
    <w:p w:rsidR="004E3CFC" w:rsidRDefault="004E3CFC" w:rsidP="00AC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07" w:rsidRDefault="00EB34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07" w:rsidRDefault="00EB34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07" w:rsidRDefault="00EB34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649"/>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CC6"/>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0AF"/>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E5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4F1D"/>
    <w:rsid w:val="00105958"/>
    <w:rsid w:val="001063C0"/>
    <w:rsid w:val="00106797"/>
    <w:rsid w:val="00106C9C"/>
    <w:rsid w:val="00106ED7"/>
    <w:rsid w:val="0011001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14A"/>
    <w:rsid w:val="001A235F"/>
    <w:rsid w:val="001A24A4"/>
    <w:rsid w:val="001A2C6B"/>
    <w:rsid w:val="001A44D8"/>
    <w:rsid w:val="001A4877"/>
    <w:rsid w:val="001A5B34"/>
    <w:rsid w:val="001A6083"/>
    <w:rsid w:val="001A611C"/>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4FC"/>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77E"/>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2781"/>
    <w:rsid w:val="00213A5B"/>
    <w:rsid w:val="002147D3"/>
    <w:rsid w:val="00215106"/>
    <w:rsid w:val="002151CD"/>
    <w:rsid w:val="002154AA"/>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74"/>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2AA"/>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2C5C"/>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3F5"/>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96"/>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894"/>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A13"/>
    <w:rsid w:val="003D3D32"/>
    <w:rsid w:val="003D3DFC"/>
    <w:rsid w:val="003D41D5"/>
    <w:rsid w:val="003D43FF"/>
    <w:rsid w:val="003D4498"/>
    <w:rsid w:val="003D4C2F"/>
    <w:rsid w:val="003D4CBF"/>
    <w:rsid w:val="003D5599"/>
    <w:rsid w:val="003D55F8"/>
    <w:rsid w:val="003D7225"/>
    <w:rsid w:val="003D7246"/>
    <w:rsid w:val="003E0183"/>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24D7"/>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0FC"/>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189F"/>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113"/>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CFC"/>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3BCA"/>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6D64"/>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464E"/>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A03"/>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4F18"/>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3A3"/>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55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1C9C"/>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0DA2"/>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BCC"/>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09"/>
    <w:rsid w:val="006C17E3"/>
    <w:rsid w:val="006C20B0"/>
    <w:rsid w:val="006C2465"/>
    <w:rsid w:val="006C2599"/>
    <w:rsid w:val="006C2C9C"/>
    <w:rsid w:val="006C2FFF"/>
    <w:rsid w:val="006C37E7"/>
    <w:rsid w:val="006C3A84"/>
    <w:rsid w:val="006C3BE5"/>
    <w:rsid w:val="006C4B9F"/>
    <w:rsid w:val="006C5E7A"/>
    <w:rsid w:val="006C600D"/>
    <w:rsid w:val="006C628D"/>
    <w:rsid w:val="006C6610"/>
    <w:rsid w:val="006C681F"/>
    <w:rsid w:val="006C76EB"/>
    <w:rsid w:val="006C7A8A"/>
    <w:rsid w:val="006C7FF1"/>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EF7"/>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7BD"/>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48C"/>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2D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68"/>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E96"/>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91C"/>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45CB"/>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099"/>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22"/>
    <w:rsid w:val="00922493"/>
    <w:rsid w:val="00922B7A"/>
    <w:rsid w:val="00923275"/>
    <w:rsid w:val="00923358"/>
    <w:rsid w:val="00923713"/>
    <w:rsid w:val="00923C64"/>
    <w:rsid w:val="009241CA"/>
    <w:rsid w:val="009248FC"/>
    <w:rsid w:val="00924DB4"/>
    <w:rsid w:val="00925EB0"/>
    <w:rsid w:val="009265BE"/>
    <w:rsid w:val="00926771"/>
    <w:rsid w:val="00926BFF"/>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85A"/>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4E8D"/>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29A"/>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596"/>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B14"/>
    <w:rsid w:val="009F0C41"/>
    <w:rsid w:val="009F0EE0"/>
    <w:rsid w:val="009F286E"/>
    <w:rsid w:val="009F33E4"/>
    <w:rsid w:val="009F3CCA"/>
    <w:rsid w:val="009F45A8"/>
    <w:rsid w:val="009F47FC"/>
    <w:rsid w:val="009F5358"/>
    <w:rsid w:val="009F57AD"/>
    <w:rsid w:val="009F5891"/>
    <w:rsid w:val="009F5BF9"/>
    <w:rsid w:val="009F69E1"/>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5F6D"/>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A1A"/>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9E8"/>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E5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87D44"/>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2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7B"/>
    <w:rsid w:val="00BC1CC0"/>
    <w:rsid w:val="00BC2C71"/>
    <w:rsid w:val="00BC400C"/>
    <w:rsid w:val="00BC4311"/>
    <w:rsid w:val="00BC463C"/>
    <w:rsid w:val="00BC4A02"/>
    <w:rsid w:val="00BC58FF"/>
    <w:rsid w:val="00BC602D"/>
    <w:rsid w:val="00BC650E"/>
    <w:rsid w:val="00BC6D9E"/>
    <w:rsid w:val="00BC76E0"/>
    <w:rsid w:val="00BC79BA"/>
    <w:rsid w:val="00BD0767"/>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AB5"/>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1738"/>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1A2"/>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5B"/>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6E"/>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4F2"/>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4FFF"/>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0CD"/>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4A0D"/>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407"/>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1579"/>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1EA3"/>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1F"/>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94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0FA9"/>
    <w:rsid w:val="00F7175A"/>
    <w:rsid w:val="00F72A46"/>
    <w:rsid w:val="00F72C84"/>
    <w:rsid w:val="00F72ECD"/>
    <w:rsid w:val="00F730F3"/>
    <w:rsid w:val="00F73837"/>
    <w:rsid w:val="00F73DC0"/>
    <w:rsid w:val="00F744AF"/>
    <w:rsid w:val="00F75783"/>
    <w:rsid w:val="00F75CF2"/>
    <w:rsid w:val="00F762B8"/>
    <w:rsid w:val="00F76A51"/>
    <w:rsid w:val="00F76A96"/>
    <w:rsid w:val="00F77796"/>
    <w:rsid w:val="00F77B01"/>
    <w:rsid w:val="00F80111"/>
    <w:rsid w:val="00F80C7B"/>
    <w:rsid w:val="00F80FAE"/>
    <w:rsid w:val="00F81AD5"/>
    <w:rsid w:val="00F82761"/>
    <w:rsid w:val="00F8294D"/>
    <w:rsid w:val="00F82ED2"/>
    <w:rsid w:val="00F839C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9A440"/>
  <w15:docId w15:val="{A5233CEA-B148-48BA-AC00-74359F62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3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B155-A565-426A-A834-657CD34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Мишарина Юлия Юрьевна</cp:lastModifiedBy>
  <cp:revision>12</cp:revision>
  <cp:lastPrinted>2021-07-21T07:29:00Z</cp:lastPrinted>
  <dcterms:created xsi:type="dcterms:W3CDTF">2021-07-30T13:37:00Z</dcterms:created>
  <dcterms:modified xsi:type="dcterms:W3CDTF">2021-08-06T05:56:00Z</dcterms:modified>
</cp:coreProperties>
</file>