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1C6" w:rsidRDefault="00E261C6" w:rsidP="00B81E67">
      <w:pPr>
        <w:autoSpaceDE w:val="0"/>
        <w:adjustRightInd w:val="0"/>
        <w:ind w:left="-426" w:firstLine="709"/>
        <w:jc w:val="center"/>
        <w:rPr>
          <w:rFonts w:eastAsia="Times New Roman" w:cs="Times New Roman"/>
          <w:b/>
          <w:caps/>
          <w:kern w:val="0"/>
        </w:rPr>
      </w:pPr>
      <w:r>
        <w:rPr>
          <w:rFonts w:eastAsia="Times New Roman" w:cs="Times New Roman"/>
          <w:b/>
          <w:caps/>
        </w:rPr>
        <w:t>Техническое задание (Описание объекта закупки)</w:t>
      </w:r>
    </w:p>
    <w:p w:rsidR="00E261C6" w:rsidRDefault="00E261C6" w:rsidP="00B81E67">
      <w:pPr>
        <w:ind w:right="639"/>
        <w:jc w:val="center"/>
        <w:rPr>
          <w:bCs/>
          <w:sz w:val="25"/>
          <w:szCs w:val="25"/>
        </w:rPr>
      </w:pPr>
      <w:r>
        <w:rPr>
          <w:bCs/>
          <w:sz w:val="25"/>
          <w:szCs w:val="25"/>
        </w:rPr>
        <w:t>Наименование и описание объекта открытого конкурса в электронной форме:</w:t>
      </w:r>
    </w:p>
    <w:p w:rsidR="00026E53" w:rsidRPr="00026E53" w:rsidRDefault="00184361" w:rsidP="00026E53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bCs/>
          <w:i/>
          <w:kern w:val="0"/>
          <w:lang w:eastAsia="en-US"/>
        </w:rPr>
      </w:pPr>
      <w:r>
        <w:rPr>
          <w:rFonts w:eastAsia="Times New Roman" w:cs="Times New Roman"/>
          <w:b/>
          <w:bCs/>
          <w:i/>
          <w:kern w:val="0"/>
          <w:lang w:eastAsia="en-US"/>
        </w:rPr>
        <w:t>№ 111</w:t>
      </w:r>
      <w:r w:rsidR="00026E53" w:rsidRPr="00026E53">
        <w:rPr>
          <w:rFonts w:eastAsia="Times New Roman" w:cs="Times New Roman"/>
          <w:b/>
          <w:bCs/>
          <w:i/>
          <w:kern w:val="0"/>
          <w:lang w:eastAsia="en-US"/>
        </w:rPr>
        <w:t>. Выполнение работ по обеспечению инвалидов и отдельных категорий граждан из числа ветеранов протезами нижних конечностей в 2021 году.</w:t>
      </w:r>
    </w:p>
    <w:tbl>
      <w:tblPr>
        <w:tblW w:w="104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1872"/>
        <w:gridCol w:w="7087"/>
        <w:gridCol w:w="822"/>
      </w:tblGrid>
      <w:tr w:rsidR="00026E53" w:rsidRPr="00026E53" w:rsidTr="00990DB9">
        <w:trPr>
          <w:trHeight w:val="73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E53" w:rsidRPr="00026E53" w:rsidRDefault="00026E53" w:rsidP="00026E53">
            <w:pPr>
              <w:snapToGrid w:val="0"/>
              <w:jc w:val="center"/>
              <w:rPr>
                <w:b/>
              </w:rPr>
            </w:pPr>
            <w:r w:rsidRPr="00026E53">
              <w:rPr>
                <w:b/>
              </w:rPr>
              <w:t>№</w:t>
            </w:r>
          </w:p>
          <w:p w:rsidR="00026E53" w:rsidRPr="00026E53" w:rsidRDefault="00026E53" w:rsidP="00026E53">
            <w:pPr>
              <w:jc w:val="center"/>
              <w:rPr>
                <w:b/>
              </w:rPr>
            </w:pPr>
            <w:r w:rsidRPr="00026E53">
              <w:rPr>
                <w:b/>
              </w:rPr>
              <w:t>п/п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E53" w:rsidRPr="00026E53" w:rsidRDefault="00026E53" w:rsidP="00026E53">
            <w:pPr>
              <w:jc w:val="center"/>
              <w:rPr>
                <w:b/>
              </w:rPr>
            </w:pPr>
            <w:r w:rsidRPr="00026E53">
              <w:rPr>
                <w:b/>
              </w:rPr>
              <w:t>Наименование работ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E53" w:rsidRPr="00026E53" w:rsidRDefault="00026E53" w:rsidP="00026E53">
            <w:pPr>
              <w:snapToGrid w:val="0"/>
              <w:jc w:val="center"/>
              <w:rPr>
                <w:b/>
              </w:rPr>
            </w:pPr>
            <w:r w:rsidRPr="00026E53">
              <w:rPr>
                <w:b/>
              </w:rPr>
              <w:t>Описание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E53" w:rsidRPr="00026E53" w:rsidRDefault="00026E53" w:rsidP="00026E53">
            <w:pPr>
              <w:snapToGrid w:val="0"/>
              <w:jc w:val="center"/>
              <w:rPr>
                <w:b/>
              </w:rPr>
            </w:pPr>
            <w:r w:rsidRPr="00026E53">
              <w:rPr>
                <w:b/>
              </w:rPr>
              <w:t>Объем (шт.)</w:t>
            </w:r>
          </w:p>
        </w:tc>
      </w:tr>
      <w:tr w:rsidR="00026E53" w:rsidRPr="00026E53" w:rsidTr="00990DB9">
        <w:trPr>
          <w:trHeight w:val="42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Pr="00026E53" w:rsidRDefault="00026E53" w:rsidP="00026E53">
            <w:pPr>
              <w:snapToGrid w:val="0"/>
              <w:jc w:val="center"/>
              <w:rPr>
                <w:bCs/>
              </w:rPr>
            </w:pPr>
            <w:r w:rsidRPr="00026E53">
              <w:rPr>
                <w:bCs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61" w:rsidRPr="00855B3E" w:rsidRDefault="00184361" w:rsidP="00184361">
            <w:pPr>
              <w:jc w:val="center"/>
            </w:pPr>
            <w:r w:rsidRPr="00855B3E">
              <w:t xml:space="preserve">Протез </w:t>
            </w:r>
            <w:r>
              <w:t>голени</w:t>
            </w:r>
            <w:r w:rsidRPr="00855B3E">
              <w:t xml:space="preserve"> модульный   в том числе при недоразвитии</w:t>
            </w:r>
            <w:r>
              <w:t xml:space="preserve"> 8-07-09</w:t>
            </w:r>
          </w:p>
          <w:p w:rsidR="00026E53" w:rsidRPr="00026E53" w:rsidRDefault="00026E53" w:rsidP="0087360A">
            <w:pPr>
              <w:widowControl/>
              <w:suppressAutoHyphens w:val="0"/>
              <w:autoSpaceDN/>
              <w:spacing w:line="259" w:lineRule="auto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Pr="00026E53" w:rsidRDefault="00184361" w:rsidP="00184361">
            <w:pPr>
              <w:snapToGrid w:val="0"/>
              <w:jc w:val="both"/>
              <w:rPr>
                <w:sz w:val="20"/>
                <w:szCs w:val="20"/>
              </w:rPr>
            </w:pPr>
            <w:r w:rsidRPr="00184361">
              <w:rPr>
                <w:sz w:val="20"/>
                <w:szCs w:val="20"/>
              </w:rPr>
              <w:t>Протез должен иметь следующие характеристики:</w:t>
            </w:r>
            <w:r>
              <w:rPr>
                <w:sz w:val="20"/>
                <w:szCs w:val="20"/>
              </w:rPr>
              <w:t xml:space="preserve"> протез голени</w:t>
            </w:r>
            <w:r w:rsidRPr="00184361">
              <w:rPr>
                <w:sz w:val="20"/>
                <w:szCs w:val="20"/>
              </w:rPr>
              <w:t xml:space="preserve"> с силиконовым чехло</w:t>
            </w:r>
            <w:r>
              <w:rPr>
                <w:sz w:val="20"/>
                <w:szCs w:val="20"/>
              </w:rPr>
              <w:t xml:space="preserve">м на среднюю культю, модульный. Формообразующая часть косметической </w:t>
            </w:r>
            <w:r w:rsidRPr="00184361">
              <w:rPr>
                <w:sz w:val="20"/>
                <w:szCs w:val="20"/>
              </w:rPr>
              <w:t xml:space="preserve">облицовки </w:t>
            </w:r>
            <w:r>
              <w:rPr>
                <w:sz w:val="20"/>
                <w:szCs w:val="20"/>
              </w:rPr>
              <w:t xml:space="preserve">должна быть модульная мягкая полиуретановая, </w:t>
            </w:r>
            <w:r w:rsidRPr="00184361">
              <w:rPr>
                <w:sz w:val="20"/>
                <w:szCs w:val="20"/>
              </w:rPr>
              <w:t>листовой порол</w:t>
            </w:r>
            <w:r>
              <w:rPr>
                <w:sz w:val="20"/>
                <w:szCs w:val="20"/>
              </w:rPr>
              <w:t xml:space="preserve">он или полужесткая эластичная. </w:t>
            </w:r>
            <w:r w:rsidRPr="00184361">
              <w:rPr>
                <w:sz w:val="20"/>
                <w:szCs w:val="20"/>
              </w:rPr>
              <w:t>Косметическо</w:t>
            </w:r>
            <w:r>
              <w:rPr>
                <w:sz w:val="20"/>
                <w:szCs w:val="20"/>
              </w:rPr>
              <w:t xml:space="preserve">е покрытие </w:t>
            </w:r>
            <w:r w:rsidRPr="00184361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блицовки - чулки ортопедические</w:t>
            </w:r>
            <w:r w:rsidRPr="00184361">
              <w:rPr>
                <w:sz w:val="20"/>
                <w:szCs w:val="20"/>
              </w:rPr>
              <w:t xml:space="preserve"> </w:t>
            </w:r>
            <w:proofErr w:type="spellStart"/>
            <w:r w:rsidRPr="00184361">
              <w:rPr>
                <w:sz w:val="20"/>
                <w:szCs w:val="20"/>
              </w:rPr>
              <w:t>перло</w:t>
            </w:r>
            <w:r>
              <w:rPr>
                <w:sz w:val="20"/>
                <w:szCs w:val="20"/>
              </w:rPr>
              <w:t>новые</w:t>
            </w:r>
            <w:proofErr w:type="spellEnd"/>
            <w:r>
              <w:rPr>
                <w:sz w:val="20"/>
                <w:szCs w:val="20"/>
              </w:rPr>
              <w:t xml:space="preserve"> или </w:t>
            </w:r>
            <w:proofErr w:type="spellStart"/>
            <w:r>
              <w:rPr>
                <w:sz w:val="20"/>
                <w:szCs w:val="20"/>
              </w:rPr>
              <w:t>силоновые</w:t>
            </w:r>
            <w:proofErr w:type="spellEnd"/>
            <w:r>
              <w:rPr>
                <w:sz w:val="20"/>
                <w:szCs w:val="20"/>
              </w:rPr>
              <w:t xml:space="preserve">. Приемная </w:t>
            </w:r>
            <w:r w:rsidRPr="00184361">
              <w:rPr>
                <w:sz w:val="20"/>
                <w:szCs w:val="20"/>
              </w:rPr>
              <w:t>гильза индивидуальная</w:t>
            </w:r>
            <w:r>
              <w:rPr>
                <w:sz w:val="20"/>
                <w:szCs w:val="20"/>
              </w:rPr>
              <w:t xml:space="preserve"> 1шт. Пробная (примерочная</w:t>
            </w:r>
            <w:r w:rsidRPr="00184361">
              <w:rPr>
                <w:sz w:val="20"/>
                <w:szCs w:val="20"/>
              </w:rPr>
              <w:t>) гильза</w:t>
            </w:r>
            <w:r>
              <w:rPr>
                <w:sz w:val="20"/>
                <w:szCs w:val="20"/>
              </w:rPr>
              <w:t xml:space="preserve"> должна </w:t>
            </w:r>
            <w:r w:rsidRPr="00184361">
              <w:rPr>
                <w:sz w:val="20"/>
                <w:szCs w:val="20"/>
              </w:rPr>
              <w:t>изготавлива</w:t>
            </w:r>
            <w:r>
              <w:rPr>
                <w:sz w:val="20"/>
                <w:szCs w:val="20"/>
              </w:rPr>
              <w:t>ть</w:t>
            </w:r>
            <w:r w:rsidRPr="00184361">
              <w:rPr>
                <w:sz w:val="20"/>
                <w:szCs w:val="20"/>
              </w:rPr>
              <w:t>ся из листового жесткого ударопрочного антибактериального материала толщиной не менее 15 мм (1шт.). Материал индивидуальной постоянной гильзы</w:t>
            </w:r>
            <w:r>
              <w:rPr>
                <w:sz w:val="20"/>
                <w:szCs w:val="20"/>
              </w:rPr>
              <w:t xml:space="preserve"> должен быть</w:t>
            </w:r>
            <w:r w:rsidRPr="00184361">
              <w:rPr>
                <w:sz w:val="20"/>
                <w:szCs w:val="20"/>
              </w:rPr>
              <w:t xml:space="preserve"> литье</w:t>
            </w:r>
            <w:r>
              <w:rPr>
                <w:sz w:val="20"/>
                <w:szCs w:val="20"/>
              </w:rPr>
              <w:t xml:space="preserve">вой слоистый пластик на основе акриловых смол, </w:t>
            </w:r>
            <w:r w:rsidRPr="00184361">
              <w:rPr>
                <w:sz w:val="20"/>
                <w:szCs w:val="20"/>
              </w:rPr>
              <w:t xml:space="preserve">листовой термопластичный пластик. В качестве вкладного элемента </w:t>
            </w:r>
            <w:r>
              <w:rPr>
                <w:sz w:val="20"/>
                <w:szCs w:val="20"/>
              </w:rPr>
              <w:t xml:space="preserve">должны </w:t>
            </w:r>
            <w:r w:rsidRPr="00184361">
              <w:rPr>
                <w:sz w:val="20"/>
                <w:szCs w:val="20"/>
              </w:rPr>
              <w:t>применя</w:t>
            </w:r>
            <w:r>
              <w:rPr>
                <w:sz w:val="20"/>
                <w:szCs w:val="20"/>
              </w:rPr>
              <w:t>ть</w:t>
            </w:r>
            <w:r w:rsidRPr="00184361">
              <w:rPr>
                <w:sz w:val="20"/>
                <w:szCs w:val="20"/>
              </w:rPr>
              <w:t xml:space="preserve">ся чехлы полимерные </w:t>
            </w:r>
            <w:proofErr w:type="spellStart"/>
            <w:r w:rsidRPr="00184361">
              <w:rPr>
                <w:sz w:val="20"/>
                <w:szCs w:val="20"/>
              </w:rPr>
              <w:t>гелевые</w:t>
            </w:r>
            <w:proofErr w:type="spellEnd"/>
            <w:r w:rsidRPr="00184361">
              <w:rPr>
                <w:sz w:val="20"/>
                <w:szCs w:val="20"/>
              </w:rPr>
              <w:t>, крепления с исп</w:t>
            </w:r>
            <w:r>
              <w:rPr>
                <w:sz w:val="20"/>
                <w:szCs w:val="20"/>
              </w:rPr>
              <w:t xml:space="preserve">ользованием выпускного клапана </w:t>
            </w:r>
            <w:r w:rsidRPr="00184361">
              <w:rPr>
                <w:sz w:val="20"/>
                <w:szCs w:val="20"/>
              </w:rPr>
              <w:t>и силиконов</w:t>
            </w:r>
            <w:r>
              <w:rPr>
                <w:sz w:val="20"/>
                <w:szCs w:val="20"/>
              </w:rPr>
              <w:t xml:space="preserve">ого наколенника. </w:t>
            </w:r>
            <w:r w:rsidRPr="00184361">
              <w:rPr>
                <w:sz w:val="20"/>
                <w:szCs w:val="20"/>
              </w:rPr>
              <w:t>Регулировочно-соединительные</w:t>
            </w:r>
            <w:r>
              <w:rPr>
                <w:sz w:val="20"/>
                <w:szCs w:val="20"/>
              </w:rPr>
              <w:t xml:space="preserve"> </w:t>
            </w:r>
            <w:r w:rsidRPr="00184361">
              <w:rPr>
                <w:sz w:val="20"/>
                <w:szCs w:val="20"/>
              </w:rPr>
              <w:t xml:space="preserve">устройства должны соответствовать весу инвалида.  Стопа с интегрированной шаровой опорой, обеспечивающей </w:t>
            </w:r>
            <w:proofErr w:type="spellStart"/>
            <w:r w:rsidRPr="00184361">
              <w:rPr>
                <w:sz w:val="20"/>
                <w:szCs w:val="20"/>
              </w:rPr>
              <w:t>мультиосное</w:t>
            </w:r>
            <w:proofErr w:type="spellEnd"/>
            <w:r w:rsidRPr="00184361">
              <w:rPr>
                <w:sz w:val="20"/>
                <w:szCs w:val="20"/>
              </w:rPr>
              <w:t xml:space="preserve"> движение в щиколотке подвижной во всех плоскостях. Тип протеза: любой, по назначению.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Pr="00026E53" w:rsidRDefault="00184361" w:rsidP="00026E53">
            <w:pPr>
              <w:snapToGrid w:val="0"/>
              <w:jc w:val="center"/>
            </w:pPr>
            <w:r>
              <w:t>2</w:t>
            </w:r>
          </w:p>
        </w:tc>
      </w:tr>
      <w:tr w:rsidR="00026E53" w:rsidRPr="00026E53" w:rsidTr="00990DB9">
        <w:trPr>
          <w:trHeight w:val="42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Pr="00026E53" w:rsidRDefault="00026E53" w:rsidP="00026E53">
            <w:pPr>
              <w:snapToGrid w:val="0"/>
              <w:jc w:val="center"/>
              <w:rPr>
                <w:bCs/>
              </w:rPr>
            </w:pPr>
            <w:r w:rsidRPr="00026E53">
              <w:rPr>
                <w:bCs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61" w:rsidRDefault="00184361" w:rsidP="00184361">
            <w:pPr>
              <w:jc w:val="center"/>
              <w:rPr>
                <w:rFonts w:eastAsia="Times New Roman" w:cs="Times New Roman"/>
                <w:kern w:val="0"/>
              </w:rPr>
            </w:pPr>
            <w:r>
              <w:t>Протез бедра модульный   в том числе при врожденном   недоразвитии</w:t>
            </w:r>
          </w:p>
          <w:p w:rsidR="00184361" w:rsidRDefault="00184361" w:rsidP="00184361">
            <w:pPr>
              <w:jc w:val="center"/>
            </w:pPr>
            <w:r>
              <w:t>8-07-10</w:t>
            </w:r>
          </w:p>
          <w:p w:rsidR="00026E53" w:rsidRPr="00026E53" w:rsidRDefault="00026E53" w:rsidP="0087360A">
            <w:pPr>
              <w:widowControl/>
              <w:suppressAutoHyphens w:val="0"/>
              <w:autoSpaceDN/>
              <w:spacing w:line="259" w:lineRule="auto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Pr="00026E53" w:rsidRDefault="00184361" w:rsidP="007F162A">
            <w:pPr>
              <w:snapToGrid w:val="0"/>
              <w:jc w:val="both"/>
              <w:rPr>
                <w:sz w:val="20"/>
                <w:szCs w:val="20"/>
              </w:rPr>
            </w:pPr>
            <w:r w:rsidRPr="00184361">
              <w:rPr>
                <w:sz w:val="20"/>
                <w:szCs w:val="20"/>
              </w:rPr>
              <w:t>Протез бедра модульный. Формообразующая часть косм</w:t>
            </w:r>
            <w:r w:rsidR="00FC2166">
              <w:rPr>
                <w:sz w:val="20"/>
                <w:szCs w:val="20"/>
              </w:rPr>
              <w:t>етической облицовки должна быть</w:t>
            </w:r>
            <w:r w:rsidRPr="00184361">
              <w:rPr>
                <w:sz w:val="20"/>
                <w:szCs w:val="20"/>
              </w:rPr>
              <w:t xml:space="preserve"> модульная мягкая</w:t>
            </w:r>
            <w:r w:rsidR="00FC2166">
              <w:rPr>
                <w:sz w:val="20"/>
                <w:szCs w:val="20"/>
              </w:rPr>
              <w:t xml:space="preserve"> полиуретановая. Косметическое покрытие </w:t>
            </w:r>
            <w:r w:rsidRPr="00184361">
              <w:rPr>
                <w:sz w:val="20"/>
                <w:szCs w:val="20"/>
              </w:rPr>
              <w:t xml:space="preserve">облицовки </w:t>
            </w:r>
            <w:r w:rsidR="00FC2166">
              <w:rPr>
                <w:sz w:val="20"/>
                <w:szCs w:val="20"/>
              </w:rPr>
              <w:t xml:space="preserve">должно быть чулки </w:t>
            </w:r>
            <w:r w:rsidRPr="00184361">
              <w:rPr>
                <w:sz w:val="20"/>
                <w:szCs w:val="20"/>
              </w:rPr>
              <w:t>орто</w:t>
            </w:r>
            <w:r w:rsidR="00FC2166">
              <w:rPr>
                <w:sz w:val="20"/>
                <w:szCs w:val="20"/>
              </w:rPr>
              <w:t xml:space="preserve">педические </w:t>
            </w:r>
            <w:proofErr w:type="spellStart"/>
            <w:r w:rsidR="00FC2166">
              <w:rPr>
                <w:sz w:val="20"/>
                <w:szCs w:val="20"/>
              </w:rPr>
              <w:t>перлоновые</w:t>
            </w:r>
            <w:proofErr w:type="spellEnd"/>
            <w:r w:rsidR="00FC2166">
              <w:rPr>
                <w:sz w:val="20"/>
                <w:szCs w:val="20"/>
              </w:rPr>
              <w:t>.</w:t>
            </w:r>
            <w:r w:rsidR="007F162A">
              <w:rPr>
                <w:sz w:val="20"/>
                <w:szCs w:val="20"/>
              </w:rPr>
              <w:t xml:space="preserve"> </w:t>
            </w:r>
            <w:r w:rsidR="00FC2166">
              <w:rPr>
                <w:sz w:val="20"/>
                <w:szCs w:val="20"/>
              </w:rPr>
              <w:t>Пробная (примерочная</w:t>
            </w:r>
            <w:r w:rsidRPr="00184361">
              <w:rPr>
                <w:sz w:val="20"/>
                <w:szCs w:val="20"/>
              </w:rPr>
              <w:t>) гильза изготавливается из листового жесткого ударопрочного антибактериального материала, толщиной не мене</w:t>
            </w:r>
            <w:r w:rsidR="00FC2166">
              <w:rPr>
                <w:sz w:val="20"/>
                <w:szCs w:val="20"/>
              </w:rPr>
              <w:t xml:space="preserve">е20 мм – </w:t>
            </w:r>
            <w:r w:rsidRPr="00184361">
              <w:rPr>
                <w:sz w:val="20"/>
                <w:szCs w:val="20"/>
              </w:rPr>
              <w:t>1шт.).</w:t>
            </w:r>
            <w:r w:rsidR="00557A5E">
              <w:rPr>
                <w:sz w:val="20"/>
                <w:szCs w:val="20"/>
              </w:rPr>
              <w:t xml:space="preserve"> </w:t>
            </w:r>
            <w:r w:rsidRPr="00184361">
              <w:rPr>
                <w:sz w:val="20"/>
                <w:szCs w:val="20"/>
              </w:rPr>
              <w:t>Приемная гильза</w:t>
            </w:r>
            <w:r w:rsidR="00FC2166">
              <w:rPr>
                <w:sz w:val="20"/>
                <w:szCs w:val="20"/>
              </w:rPr>
              <w:t xml:space="preserve"> индивидуальная 1 шт. Материал </w:t>
            </w:r>
            <w:r w:rsidRPr="00184361">
              <w:rPr>
                <w:sz w:val="20"/>
                <w:szCs w:val="20"/>
              </w:rPr>
              <w:t>постоянной гильзы</w:t>
            </w:r>
            <w:r w:rsidR="00FC2166">
              <w:rPr>
                <w:sz w:val="20"/>
                <w:szCs w:val="20"/>
              </w:rPr>
              <w:t xml:space="preserve"> должен быть литьевой слоистый пластик </w:t>
            </w:r>
            <w:r w:rsidR="00E97234">
              <w:rPr>
                <w:sz w:val="20"/>
                <w:szCs w:val="20"/>
              </w:rPr>
              <w:t xml:space="preserve">на основе акриловых смол. </w:t>
            </w:r>
            <w:r w:rsidRPr="00184361">
              <w:rPr>
                <w:sz w:val="20"/>
                <w:szCs w:val="20"/>
              </w:rPr>
              <w:t>Крепление протеза вакуумное с использованием бандажа или пояса. Регулировочно-соединительное устройство</w:t>
            </w:r>
            <w:r>
              <w:rPr>
                <w:sz w:val="20"/>
                <w:szCs w:val="20"/>
              </w:rPr>
              <w:t xml:space="preserve"> </w:t>
            </w:r>
            <w:r w:rsidRPr="00184361">
              <w:rPr>
                <w:sz w:val="20"/>
                <w:szCs w:val="20"/>
              </w:rPr>
              <w:t>должно соотве</w:t>
            </w:r>
            <w:r w:rsidR="00FC2166">
              <w:rPr>
                <w:sz w:val="20"/>
                <w:szCs w:val="20"/>
              </w:rPr>
              <w:t xml:space="preserve">тствовать весу </w:t>
            </w:r>
            <w:r w:rsidR="00E97234">
              <w:rPr>
                <w:sz w:val="20"/>
                <w:szCs w:val="20"/>
              </w:rPr>
              <w:t xml:space="preserve">пациента. </w:t>
            </w:r>
            <w:r w:rsidRPr="00184361">
              <w:rPr>
                <w:sz w:val="20"/>
                <w:szCs w:val="20"/>
              </w:rPr>
              <w:t>Стопа со сред</w:t>
            </w:r>
            <w:r w:rsidR="00FC2166">
              <w:rPr>
                <w:sz w:val="20"/>
                <w:szCs w:val="20"/>
              </w:rPr>
              <w:t xml:space="preserve">ней степенью энергосбережения. </w:t>
            </w:r>
            <w:r w:rsidRPr="00184361">
              <w:rPr>
                <w:sz w:val="20"/>
                <w:szCs w:val="20"/>
              </w:rPr>
              <w:t>Коленный шарнир полицентрический с независимым пневматическим регулированием фаз переноса.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53" w:rsidRPr="00026E53" w:rsidRDefault="00026E53" w:rsidP="00026E53">
            <w:pPr>
              <w:snapToGrid w:val="0"/>
              <w:jc w:val="center"/>
            </w:pPr>
            <w:r w:rsidRPr="00026E53">
              <w:t>1</w:t>
            </w:r>
          </w:p>
        </w:tc>
      </w:tr>
      <w:tr w:rsidR="00026E53" w:rsidRPr="00026E53" w:rsidTr="00990DB9">
        <w:trPr>
          <w:trHeight w:val="307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E53" w:rsidRPr="00026E53" w:rsidRDefault="00026E53" w:rsidP="00026E53">
            <w:pPr>
              <w:snapToGrid w:val="0"/>
              <w:jc w:val="center"/>
              <w:rPr>
                <w:rFonts w:cs="Times New Roman"/>
                <w:b/>
              </w:rPr>
            </w:pPr>
            <w:r w:rsidRPr="00026E53">
              <w:rPr>
                <w:rFonts w:cs="Times New Roman"/>
                <w:b/>
              </w:rPr>
              <w:t>Итого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E53" w:rsidRPr="00026E53" w:rsidRDefault="00184361" w:rsidP="00026E5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026E53" w:rsidRPr="00026E53" w:rsidRDefault="00026E53" w:rsidP="00026E53">
      <w:pPr>
        <w:widowControl/>
        <w:tabs>
          <w:tab w:val="left" w:pos="360"/>
          <w:tab w:val="left" w:pos="1080"/>
        </w:tabs>
        <w:suppressAutoHyphens w:val="0"/>
        <w:autoSpaceDN/>
        <w:ind w:firstLine="720"/>
        <w:jc w:val="both"/>
        <w:textAlignment w:val="auto"/>
        <w:rPr>
          <w:rFonts w:eastAsia="Times New Roman" w:cs="Times New Roman"/>
          <w:kern w:val="0"/>
        </w:rPr>
      </w:pPr>
      <w:r w:rsidRPr="00026E53">
        <w:rPr>
          <w:rFonts w:eastAsia="Times New Roman" w:cs="Times New Roman"/>
          <w:kern w:val="0"/>
        </w:rPr>
        <w:t>Описание функциональных и технических характеристик объекта закупки составлено на основании заключения медико-технической комиссии.</w:t>
      </w:r>
    </w:p>
    <w:p w:rsidR="00026E53" w:rsidRPr="00026E53" w:rsidRDefault="00026E53" w:rsidP="00026E53">
      <w:pPr>
        <w:widowControl/>
        <w:tabs>
          <w:tab w:val="left" w:pos="360"/>
          <w:tab w:val="left" w:pos="1080"/>
        </w:tabs>
        <w:suppressAutoHyphens w:val="0"/>
        <w:autoSpaceDN/>
        <w:ind w:firstLine="720"/>
        <w:jc w:val="center"/>
        <w:textAlignment w:val="auto"/>
        <w:rPr>
          <w:rFonts w:eastAsia="Times New Roman" w:cs="Times New Roman"/>
          <w:b/>
          <w:kern w:val="0"/>
        </w:rPr>
      </w:pPr>
      <w:r w:rsidRPr="00026E53">
        <w:rPr>
          <w:rFonts w:eastAsia="Times New Roman" w:cs="Times New Roman"/>
          <w:b/>
          <w:kern w:val="0"/>
        </w:rPr>
        <w:t>Требования к качеству работ</w:t>
      </w:r>
    </w:p>
    <w:p w:rsidR="00026E53" w:rsidRPr="00026E53" w:rsidRDefault="00026E53" w:rsidP="00026E53">
      <w:pPr>
        <w:widowControl/>
        <w:tabs>
          <w:tab w:val="left" w:pos="360"/>
          <w:tab w:val="left" w:pos="1080"/>
        </w:tabs>
        <w:suppressAutoHyphens w:val="0"/>
        <w:autoSpaceDN/>
        <w:ind w:firstLine="720"/>
        <w:jc w:val="both"/>
        <w:textAlignment w:val="auto"/>
        <w:rPr>
          <w:rFonts w:eastAsia="Times New Roman" w:cs="Times New Roman"/>
          <w:kern w:val="0"/>
        </w:rPr>
      </w:pPr>
      <w:r w:rsidRPr="00026E53">
        <w:rPr>
          <w:rFonts w:eastAsia="Times New Roman" w:cs="Times New Roman"/>
          <w:kern w:val="0"/>
        </w:rPr>
        <w:t>Протезы нижних конечностей должны соответствовать требованиям Государственного стандарта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испытаний», ГОСТ Р 53869-2010 «Протезы нижних конечностей. Технические требования».</w:t>
      </w:r>
    </w:p>
    <w:p w:rsidR="00026E53" w:rsidRPr="00026E53" w:rsidRDefault="00026E53" w:rsidP="00026E53">
      <w:pPr>
        <w:widowControl/>
        <w:tabs>
          <w:tab w:val="left" w:pos="360"/>
          <w:tab w:val="left" w:pos="1080"/>
        </w:tabs>
        <w:suppressAutoHyphens w:val="0"/>
        <w:autoSpaceDN/>
        <w:ind w:firstLine="720"/>
        <w:jc w:val="center"/>
        <w:textAlignment w:val="auto"/>
        <w:rPr>
          <w:rFonts w:eastAsia="Times New Roman" w:cs="Times New Roman"/>
          <w:b/>
          <w:kern w:val="0"/>
        </w:rPr>
      </w:pPr>
      <w:r w:rsidRPr="00026E53">
        <w:rPr>
          <w:rFonts w:eastAsia="Times New Roman" w:cs="Times New Roman"/>
          <w:b/>
          <w:kern w:val="0"/>
        </w:rPr>
        <w:t>Требования к техническим и функциональным характеристикам работ</w:t>
      </w:r>
    </w:p>
    <w:p w:rsidR="00026E53" w:rsidRPr="00026E53" w:rsidRDefault="00026E53" w:rsidP="00026E53">
      <w:pPr>
        <w:widowControl/>
        <w:tabs>
          <w:tab w:val="left" w:pos="360"/>
          <w:tab w:val="left" w:pos="1080"/>
        </w:tabs>
        <w:suppressAutoHyphens w:val="0"/>
        <w:autoSpaceDN/>
        <w:ind w:firstLine="720"/>
        <w:jc w:val="both"/>
        <w:textAlignment w:val="auto"/>
        <w:rPr>
          <w:rFonts w:eastAsia="Times New Roman" w:cs="Times New Roman"/>
          <w:kern w:val="0"/>
        </w:rPr>
      </w:pPr>
      <w:r w:rsidRPr="00026E53">
        <w:rPr>
          <w:rFonts w:eastAsia="Times New Roman" w:cs="Times New Roman"/>
          <w:kern w:val="0"/>
        </w:rPr>
        <w:t>Выполняемые работы по обеспечению инвалидов протезами нижних конечностей должны содержать комплекс медицинских, технических и социальных мероприятий, проводимых с пациентом, имеющими нарушения и (или) дефекты опорно-двигательного аппарата, в целях восстановления или компенсации ограничений их жизнедеятельности.</w:t>
      </w:r>
    </w:p>
    <w:p w:rsidR="00026E53" w:rsidRPr="00026E53" w:rsidRDefault="00026E53" w:rsidP="00026E53">
      <w:pPr>
        <w:widowControl/>
        <w:tabs>
          <w:tab w:val="left" w:pos="360"/>
          <w:tab w:val="left" w:pos="1080"/>
        </w:tabs>
        <w:suppressAutoHyphens w:val="0"/>
        <w:autoSpaceDN/>
        <w:ind w:firstLine="720"/>
        <w:jc w:val="both"/>
        <w:textAlignment w:val="auto"/>
        <w:rPr>
          <w:rFonts w:eastAsia="Times New Roman" w:cs="Times New Roman"/>
          <w:kern w:val="0"/>
        </w:rPr>
      </w:pPr>
      <w:r w:rsidRPr="00026E53">
        <w:rPr>
          <w:rFonts w:eastAsia="Times New Roman" w:cs="Times New Roman"/>
          <w:kern w:val="0"/>
        </w:rPr>
        <w:t>Работы по проведению комплекса медицинских, технических и организационных мероприятий, должны быть направлены на частичное восстановление опорно-двигательных функций и (или) устранение косметических дефектов нижней конечности инвалида с помощью протеза нижней конечности.</w:t>
      </w:r>
    </w:p>
    <w:p w:rsidR="00026E53" w:rsidRPr="00026E53" w:rsidRDefault="00026E53" w:rsidP="00026E53">
      <w:pPr>
        <w:widowControl/>
        <w:tabs>
          <w:tab w:val="left" w:pos="360"/>
          <w:tab w:val="left" w:pos="1080"/>
        </w:tabs>
        <w:suppressAutoHyphens w:val="0"/>
        <w:autoSpaceDN/>
        <w:ind w:firstLine="720"/>
        <w:jc w:val="both"/>
        <w:textAlignment w:val="auto"/>
        <w:rPr>
          <w:rFonts w:eastAsia="Times New Roman" w:cs="Times New Roman"/>
          <w:kern w:val="0"/>
        </w:rPr>
      </w:pPr>
      <w:r w:rsidRPr="00026E53">
        <w:rPr>
          <w:rFonts w:eastAsia="Times New Roman" w:cs="Times New Roman"/>
          <w:kern w:val="0"/>
        </w:rPr>
        <w:t>Приемная гильза протеза изготавливается по индивидуальному параметру инвалида и предназначается для размещения в нем пораженной конечности, обеспечивая взаимодействие инвалида с протезом конечности.</w:t>
      </w:r>
    </w:p>
    <w:p w:rsidR="00026E53" w:rsidRPr="00026E53" w:rsidRDefault="00026E53" w:rsidP="00026E53">
      <w:pPr>
        <w:widowControl/>
        <w:tabs>
          <w:tab w:val="left" w:pos="360"/>
          <w:tab w:val="left" w:pos="1080"/>
        </w:tabs>
        <w:suppressAutoHyphens w:val="0"/>
        <w:autoSpaceDN/>
        <w:ind w:firstLine="720"/>
        <w:jc w:val="both"/>
        <w:textAlignment w:val="auto"/>
        <w:rPr>
          <w:rFonts w:eastAsia="Times New Roman" w:cs="Times New Roman"/>
          <w:kern w:val="0"/>
        </w:rPr>
      </w:pPr>
      <w:r w:rsidRPr="00026E53">
        <w:rPr>
          <w:rFonts w:eastAsia="Times New Roman" w:cs="Times New Roman"/>
          <w:kern w:val="0"/>
        </w:rPr>
        <w:t>Функциональный узел протеза конечности выполняет заданную функцию и имеет конструктивно-технологическую завершенность.</w:t>
      </w:r>
    </w:p>
    <w:p w:rsidR="00026E53" w:rsidRPr="00026E53" w:rsidRDefault="00026E53" w:rsidP="00026E53">
      <w:pPr>
        <w:widowControl/>
        <w:tabs>
          <w:tab w:val="left" w:pos="360"/>
          <w:tab w:val="left" w:pos="1080"/>
        </w:tabs>
        <w:suppressAutoHyphens w:val="0"/>
        <w:autoSpaceDN/>
        <w:ind w:firstLine="720"/>
        <w:jc w:val="both"/>
        <w:textAlignment w:val="auto"/>
        <w:rPr>
          <w:rFonts w:eastAsia="Times New Roman" w:cs="Times New Roman"/>
          <w:kern w:val="0"/>
        </w:rPr>
      </w:pPr>
      <w:r w:rsidRPr="00026E53">
        <w:rPr>
          <w:rFonts w:eastAsia="Times New Roman" w:cs="Times New Roman"/>
          <w:kern w:val="0"/>
        </w:rPr>
        <w:t xml:space="preserve">Лечебно-тренировочный протез назначается после ампутации нижней конечности в целях формирования культи и адаптации инвалидов к протезу и приобретения навыков ходьбы. Постоянный протез предназначается после завершения использования лечебно-тренировочного протеза. </w:t>
      </w:r>
    </w:p>
    <w:p w:rsidR="00026E53" w:rsidRPr="00026E53" w:rsidRDefault="00026E53" w:rsidP="00026E53">
      <w:pPr>
        <w:widowControl/>
        <w:tabs>
          <w:tab w:val="left" w:pos="360"/>
          <w:tab w:val="left" w:pos="1080"/>
        </w:tabs>
        <w:suppressAutoHyphens w:val="0"/>
        <w:autoSpaceDN/>
        <w:ind w:firstLine="720"/>
        <w:jc w:val="center"/>
        <w:textAlignment w:val="auto"/>
        <w:rPr>
          <w:rFonts w:eastAsia="Times New Roman" w:cs="Times New Roman"/>
          <w:b/>
          <w:kern w:val="0"/>
        </w:rPr>
      </w:pPr>
      <w:r w:rsidRPr="00026E53">
        <w:rPr>
          <w:rFonts w:eastAsia="Times New Roman" w:cs="Times New Roman"/>
          <w:b/>
          <w:kern w:val="0"/>
        </w:rPr>
        <w:t>Требования к результатам работ</w:t>
      </w:r>
    </w:p>
    <w:p w:rsidR="00026E53" w:rsidRPr="00026E53" w:rsidRDefault="00026E53" w:rsidP="00026E53">
      <w:pPr>
        <w:widowControl/>
        <w:tabs>
          <w:tab w:val="left" w:pos="360"/>
          <w:tab w:val="left" w:pos="1080"/>
        </w:tabs>
        <w:suppressAutoHyphens w:val="0"/>
        <w:autoSpaceDN/>
        <w:ind w:firstLine="720"/>
        <w:jc w:val="both"/>
        <w:textAlignment w:val="auto"/>
        <w:rPr>
          <w:rFonts w:eastAsia="Times New Roman" w:cs="Times New Roman"/>
          <w:kern w:val="0"/>
        </w:rPr>
      </w:pPr>
      <w:r w:rsidRPr="00026E53">
        <w:rPr>
          <w:rFonts w:eastAsia="Times New Roman" w:cs="Times New Roman"/>
          <w:kern w:val="0"/>
        </w:rPr>
        <w:lastRenderedPageBreak/>
        <w:t>Работы по обеспечению инвалида протезом нижней конечности следует считать эффективно исполненными, если у инвалида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инвалида протезом должны быть выполнены с надлежащим качеством и в установленные сроки.</w:t>
      </w:r>
    </w:p>
    <w:p w:rsidR="00026E53" w:rsidRPr="00026E53" w:rsidRDefault="00026E53" w:rsidP="00026E53">
      <w:pPr>
        <w:widowControl/>
        <w:tabs>
          <w:tab w:val="left" w:pos="360"/>
          <w:tab w:val="left" w:pos="1080"/>
        </w:tabs>
        <w:suppressAutoHyphens w:val="0"/>
        <w:autoSpaceDN/>
        <w:ind w:firstLine="720"/>
        <w:jc w:val="center"/>
        <w:textAlignment w:val="auto"/>
        <w:rPr>
          <w:rFonts w:eastAsia="Times New Roman" w:cs="Times New Roman"/>
          <w:b/>
          <w:kern w:val="0"/>
        </w:rPr>
      </w:pPr>
      <w:r w:rsidRPr="00026E53">
        <w:rPr>
          <w:rFonts w:eastAsia="Times New Roman" w:cs="Times New Roman"/>
          <w:b/>
          <w:kern w:val="0"/>
        </w:rPr>
        <w:t>Требования к размерам, упаковке.</w:t>
      </w:r>
    </w:p>
    <w:p w:rsidR="00026E53" w:rsidRPr="00026E53" w:rsidRDefault="00026E53" w:rsidP="00026E53">
      <w:pPr>
        <w:widowControl/>
        <w:tabs>
          <w:tab w:val="left" w:pos="360"/>
          <w:tab w:val="left" w:pos="1080"/>
        </w:tabs>
        <w:suppressAutoHyphens w:val="0"/>
        <w:autoSpaceDN/>
        <w:ind w:firstLine="720"/>
        <w:jc w:val="both"/>
        <w:textAlignment w:val="auto"/>
        <w:rPr>
          <w:rFonts w:eastAsia="Times New Roman" w:cs="Times New Roman"/>
          <w:kern w:val="0"/>
        </w:rPr>
      </w:pPr>
      <w:r w:rsidRPr="00026E53">
        <w:rPr>
          <w:rFonts w:eastAsia="Times New Roman" w:cs="Times New Roman"/>
          <w:kern w:val="0"/>
        </w:rPr>
        <w:t xml:space="preserve">Маркировка протеза, а также их упаковка, хранение и транспортировка к месту жительства инвалидов (ветеранов) должна осуществляться с соблюдением требований ГОСТ Р ИСО 22523-2007 «Протезы конечностей и </w:t>
      </w:r>
      <w:proofErr w:type="spellStart"/>
      <w:r w:rsidRPr="00026E53">
        <w:rPr>
          <w:rFonts w:eastAsia="Times New Roman" w:cs="Times New Roman"/>
          <w:kern w:val="0"/>
        </w:rPr>
        <w:t>ортезы</w:t>
      </w:r>
      <w:proofErr w:type="spellEnd"/>
      <w:r w:rsidRPr="00026E53">
        <w:rPr>
          <w:rFonts w:eastAsia="Times New Roman" w:cs="Times New Roman"/>
          <w:kern w:val="0"/>
        </w:rPr>
        <w:t xml:space="preserve"> наружные. Требования и методы испытаний» и ГОСТ Р 51632-2014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026E53" w:rsidRPr="00026E53" w:rsidRDefault="00026E53" w:rsidP="00026E53">
      <w:pPr>
        <w:widowControl/>
        <w:tabs>
          <w:tab w:val="left" w:pos="360"/>
          <w:tab w:val="left" w:pos="1080"/>
        </w:tabs>
        <w:suppressAutoHyphens w:val="0"/>
        <w:autoSpaceDN/>
        <w:ind w:firstLine="720"/>
        <w:jc w:val="both"/>
        <w:textAlignment w:val="auto"/>
        <w:rPr>
          <w:rFonts w:eastAsia="Times New Roman" w:cs="Times New Roman"/>
          <w:kern w:val="0"/>
        </w:rPr>
      </w:pPr>
      <w:r w:rsidRPr="00026E53">
        <w:rPr>
          <w:rFonts w:eastAsia="Times New Roman" w:cs="Times New Roman"/>
          <w:kern w:val="0"/>
        </w:rPr>
        <w:t>Упаковка протеза должна обеспечивать защиту от повреждений, порчи (изнашивания) или загрязнения во время хранения и транспортировки к месту жительства инвалида (ветерана).</w:t>
      </w:r>
    </w:p>
    <w:p w:rsidR="00026E53" w:rsidRPr="00026E53" w:rsidRDefault="00026E53" w:rsidP="00026E53">
      <w:pPr>
        <w:widowControl/>
        <w:tabs>
          <w:tab w:val="left" w:pos="360"/>
          <w:tab w:val="left" w:pos="1080"/>
        </w:tabs>
        <w:suppressAutoHyphens w:val="0"/>
        <w:autoSpaceDN/>
        <w:ind w:firstLine="720"/>
        <w:jc w:val="both"/>
        <w:textAlignment w:val="auto"/>
        <w:rPr>
          <w:rFonts w:eastAsia="Times New Roman" w:cs="Times New Roman"/>
          <w:kern w:val="0"/>
        </w:rPr>
      </w:pPr>
      <w:r w:rsidRPr="00026E53">
        <w:rPr>
          <w:rFonts w:eastAsia="Times New Roman" w:cs="Times New Roman"/>
          <w:kern w:val="0"/>
        </w:rPr>
        <w:t>Временная противокоррозионная защита протеза производится в соответствии с требованиями ГОСТ 9.014-78 «Единая система защиты от коррозии и старения материалов и изделий. Временная противокоррозионная защита изделий. Общие требования», а также стандартов и ТУ на протезы конкретных групп, типов (видов, моделей).</w:t>
      </w:r>
    </w:p>
    <w:p w:rsidR="00026E53" w:rsidRPr="00026E53" w:rsidRDefault="00026E53" w:rsidP="00026E53">
      <w:pPr>
        <w:widowControl/>
        <w:tabs>
          <w:tab w:val="left" w:pos="360"/>
          <w:tab w:val="left" w:pos="1080"/>
        </w:tabs>
        <w:suppressAutoHyphens w:val="0"/>
        <w:autoSpaceDN/>
        <w:ind w:firstLine="720"/>
        <w:jc w:val="both"/>
        <w:textAlignment w:val="auto"/>
        <w:rPr>
          <w:rFonts w:eastAsia="Times New Roman" w:cs="Times New Roman"/>
          <w:kern w:val="0"/>
        </w:rPr>
      </w:pPr>
      <w:r w:rsidRPr="00026E53">
        <w:rPr>
          <w:rFonts w:eastAsia="Times New Roman" w:cs="Times New Roman"/>
          <w:b/>
          <w:kern w:val="0"/>
        </w:rPr>
        <w:t>Гарантийный срок</w:t>
      </w:r>
      <w:r w:rsidRPr="00026E53">
        <w:rPr>
          <w:rFonts w:eastAsia="Times New Roman" w:cs="Times New Roman"/>
          <w:kern w:val="0"/>
        </w:rPr>
        <w:t xml:space="preserve"> на протез устанавливается со дня подписания Акта сдачи-приемки работ:</w:t>
      </w:r>
    </w:p>
    <w:p w:rsidR="00026E53" w:rsidRPr="00026E53" w:rsidRDefault="00026E53" w:rsidP="00026E53">
      <w:pPr>
        <w:widowControl/>
        <w:tabs>
          <w:tab w:val="left" w:pos="360"/>
          <w:tab w:val="left" w:pos="1080"/>
        </w:tabs>
        <w:suppressAutoHyphens w:val="0"/>
        <w:autoSpaceDN/>
        <w:ind w:firstLine="720"/>
        <w:jc w:val="both"/>
        <w:textAlignment w:val="auto"/>
        <w:rPr>
          <w:rFonts w:eastAsia="Times New Roman" w:cs="Times New Roman"/>
          <w:kern w:val="0"/>
        </w:rPr>
      </w:pPr>
      <w:r w:rsidRPr="00026E53">
        <w:rPr>
          <w:rFonts w:eastAsia="Times New Roman" w:cs="Times New Roman"/>
          <w:kern w:val="0"/>
        </w:rPr>
        <w:t xml:space="preserve">протезы нижних конечностей – не менее </w:t>
      </w:r>
      <w:r w:rsidRPr="00026E53">
        <w:rPr>
          <w:rFonts w:eastAsia="Times New Roman" w:cs="Times New Roman"/>
          <w:b/>
          <w:kern w:val="0"/>
        </w:rPr>
        <w:t>9 месяцев</w:t>
      </w:r>
      <w:r w:rsidRPr="00026E53">
        <w:rPr>
          <w:rFonts w:eastAsia="Times New Roman" w:cs="Times New Roman"/>
          <w:kern w:val="0"/>
        </w:rPr>
        <w:t>.</w:t>
      </w:r>
    </w:p>
    <w:p w:rsidR="00026E53" w:rsidRPr="00026E53" w:rsidRDefault="00026E53" w:rsidP="00026E53">
      <w:pPr>
        <w:widowControl/>
        <w:tabs>
          <w:tab w:val="left" w:pos="360"/>
          <w:tab w:val="left" w:pos="1080"/>
        </w:tabs>
        <w:suppressAutoHyphens w:val="0"/>
        <w:autoSpaceDN/>
        <w:ind w:firstLine="720"/>
        <w:jc w:val="both"/>
        <w:textAlignment w:val="auto"/>
        <w:rPr>
          <w:rFonts w:eastAsia="Times New Roman" w:cs="Times New Roman"/>
          <w:kern w:val="0"/>
        </w:rPr>
      </w:pPr>
      <w:r w:rsidRPr="00026E53">
        <w:rPr>
          <w:rFonts w:eastAsia="Times New Roman" w:cs="Times New Roman"/>
          <w:kern w:val="0"/>
        </w:rPr>
        <w:t>В течение этого срока предприятие - изготовитель производит замену или ремонт изделия бесплатно.</w:t>
      </w:r>
    </w:p>
    <w:p w:rsidR="00026E53" w:rsidRPr="00026E53" w:rsidRDefault="00026E53" w:rsidP="00026E53">
      <w:pPr>
        <w:widowControl/>
        <w:tabs>
          <w:tab w:val="left" w:pos="360"/>
          <w:tab w:val="left" w:pos="1080"/>
        </w:tabs>
        <w:suppressAutoHyphens w:val="0"/>
        <w:autoSpaceDN/>
        <w:ind w:firstLine="720"/>
        <w:jc w:val="both"/>
        <w:textAlignment w:val="auto"/>
        <w:rPr>
          <w:rFonts w:eastAsia="Times New Roman" w:cs="Times New Roman"/>
          <w:kern w:val="0"/>
        </w:rPr>
      </w:pPr>
      <w:r w:rsidRPr="00026E53">
        <w:rPr>
          <w:rFonts w:eastAsia="Times New Roman" w:cs="Times New Roman"/>
          <w:kern w:val="0"/>
        </w:rPr>
        <w:t>Протезно-ортопедическое изделие должно иметь установленный производителем срок службы, который со дня подписания Акта сдачи-приемки протезно-ортопедического изделия Получателем должен иметь величину не менее срока пользования, утвержденного приказом Министерства труда и социальной защиты Российской Федерации от 05.03.2021 № 107н «Об утверждении сроков пользования техническими средствами реабилитации, протезами и протезно-ортопедическими изделиями».</w:t>
      </w:r>
    </w:p>
    <w:p w:rsidR="00026E53" w:rsidRPr="00026E53" w:rsidRDefault="00026E53" w:rsidP="00026E53">
      <w:pPr>
        <w:widowControl/>
        <w:tabs>
          <w:tab w:val="left" w:pos="360"/>
          <w:tab w:val="left" w:pos="1080"/>
        </w:tabs>
        <w:suppressAutoHyphens w:val="0"/>
        <w:autoSpaceDN/>
        <w:jc w:val="both"/>
        <w:textAlignment w:val="auto"/>
        <w:rPr>
          <w:rFonts w:eastAsia="Times New Roman" w:cs="Times New Roman"/>
          <w:kern w:val="0"/>
        </w:rPr>
      </w:pPr>
    </w:p>
    <w:p w:rsidR="00026E53" w:rsidRPr="00026E53" w:rsidRDefault="00026E53" w:rsidP="00026E53">
      <w:pPr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lang w:eastAsia="x-none"/>
        </w:rPr>
      </w:pPr>
      <w:r w:rsidRPr="00026E53">
        <w:rPr>
          <w:rFonts w:eastAsia="Times New Roman" w:cs="Times New Roman"/>
          <w:b/>
          <w:kern w:val="0"/>
          <w:lang w:val="x-none" w:eastAsia="x-none"/>
        </w:rPr>
        <w:t xml:space="preserve">Место </w:t>
      </w:r>
      <w:r w:rsidRPr="00026E53">
        <w:rPr>
          <w:rFonts w:eastAsia="Times New Roman" w:cs="Times New Roman"/>
          <w:b/>
          <w:kern w:val="0"/>
          <w:lang w:eastAsia="x-none"/>
        </w:rPr>
        <w:t>выполнения работ</w:t>
      </w:r>
      <w:r w:rsidRPr="00026E53">
        <w:rPr>
          <w:rFonts w:eastAsia="Times New Roman" w:cs="Times New Roman"/>
          <w:b/>
          <w:kern w:val="0"/>
          <w:lang w:val="x-none" w:eastAsia="x-none"/>
        </w:rPr>
        <w:t xml:space="preserve">: </w:t>
      </w:r>
      <w:r w:rsidRPr="00026E53">
        <w:rPr>
          <w:rFonts w:eastAsia="Times New Roman" w:cs="Times New Roman"/>
          <w:kern w:val="0"/>
          <w:lang w:val="x-none" w:eastAsia="x-none"/>
        </w:rPr>
        <w:t>Российская Федерация, при невозможности инвалида прибыть к месту изготовления изделий, все предварительные работы по определению индивидуальных размеров для каждого инвалида должны осуществляться по месту жительства инвалида, а также при невозможности выдача изготовленного изделия должна осуществляться по месту жительства инвалида.</w:t>
      </w:r>
      <w:r w:rsidRPr="00026E53">
        <w:rPr>
          <w:rFonts w:eastAsia="Times New Roman" w:cs="Times New Roman"/>
          <w:kern w:val="0"/>
          <w:lang w:eastAsia="x-none"/>
        </w:rPr>
        <w:t xml:space="preserve"> </w:t>
      </w:r>
    </w:p>
    <w:p w:rsidR="00026E53" w:rsidRPr="00026E53" w:rsidRDefault="00026E53" w:rsidP="00026E53">
      <w:pPr>
        <w:widowControl/>
        <w:tabs>
          <w:tab w:val="left" w:pos="360"/>
          <w:tab w:val="left" w:pos="1080"/>
        </w:tabs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</w:rPr>
      </w:pPr>
      <w:r w:rsidRPr="00026E53">
        <w:rPr>
          <w:rFonts w:eastAsia="Times New Roman" w:cs="Times New Roman"/>
          <w:b/>
          <w:kern w:val="0"/>
        </w:rPr>
        <w:t xml:space="preserve">Сроки выполнения работ: </w:t>
      </w:r>
      <w:r w:rsidRPr="00026E53">
        <w:rPr>
          <w:rFonts w:eastAsia="Times New Roman" w:cs="Times New Roman"/>
          <w:kern w:val="0"/>
        </w:rPr>
        <w:t xml:space="preserve">Не более </w:t>
      </w:r>
      <w:r w:rsidR="00152FE1">
        <w:rPr>
          <w:rFonts w:eastAsia="Times New Roman" w:cs="Times New Roman"/>
          <w:kern w:val="0"/>
        </w:rPr>
        <w:t>35</w:t>
      </w:r>
      <w:r w:rsidRPr="00026E53">
        <w:rPr>
          <w:rFonts w:eastAsia="Times New Roman" w:cs="Times New Roman"/>
          <w:kern w:val="0"/>
        </w:rPr>
        <w:t xml:space="preserve"> календарных дней со дня обращения инвалида (при наличии направлений Заказчика). Работы должны быть выполнены в полном объеме до </w:t>
      </w:r>
      <w:r w:rsidR="00152FE1">
        <w:rPr>
          <w:rFonts w:eastAsia="Times New Roman" w:cs="Times New Roman"/>
          <w:kern w:val="0"/>
        </w:rPr>
        <w:t>25</w:t>
      </w:r>
      <w:bookmarkStart w:id="0" w:name="_GoBack"/>
      <w:bookmarkEnd w:id="0"/>
      <w:r w:rsidRPr="00026E53">
        <w:rPr>
          <w:rFonts w:eastAsia="Times New Roman" w:cs="Times New Roman"/>
          <w:kern w:val="0"/>
        </w:rPr>
        <w:t xml:space="preserve"> декабря 2021 года.</w:t>
      </w:r>
    </w:p>
    <w:p w:rsidR="00026E53" w:rsidRPr="00026E53" w:rsidRDefault="00026E53" w:rsidP="00026E53">
      <w:pPr>
        <w:widowControl/>
        <w:tabs>
          <w:tab w:val="left" w:pos="360"/>
          <w:tab w:val="left" w:pos="1080"/>
        </w:tabs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</w:rPr>
      </w:pPr>
    </w:p>
    <w:p w:rsidR="00182928" w:rsidRPr="00BB786E" w:rsidRDefault="00026E53" w:rsidP="00BB786E">
      <w:pPr>
        <w:tabs>
          <w:tab w:val="left" w:pos="1020"/>
        </w:tabs>
        <w:jc w:val="both"/>
        <w:rPr>
          <w:sz w:val="22"/>
          <w:szCs w:val="22"/>
        </w:rPr>
      </w:pPr>
      <w:r w:rsidRPr="00026E53">
        <w:rPr>
          <w:rFonts w:eastAsia="Times New Roman" w:cs="Times New Roman"/>
          <w:kern w:val="0"/>
        </w:rPr>
        <w:t>В связи с отсутствием установленных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показателей, требований, условных обозначений и терминологии, описание технических характеристик товара, работы, услуги подготовлено на основании информации, полученной в результате изучения рынка содержащейся в свободном доступе и исходя из потребностей Заказчика с учетом требований Федерального закона от 26 июля 2006 года № 135-ФЗ «О защите конкуренции» и Федерального закона от 5 апреля 2013 № 44-ФЗ "О контрактной системе в сфере закупок товаров, работ, услуг для обеспечения государственных и муниципальных нужд".</w:t>
      </w:r>
    </w:p>
    <w:sectPr w:rsidR="00182928" w:rsidRPr="00BB786E" w:rsidSect="00026E53">
      <w:headerReference w:type="default" r:id="rId7"/>
      <w:pgSz w:w="11905" w:h="16837"/>
      <w:pgMar w:top="709" w:right="760" w:bottom="28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6D7" w:rsidRDefault="003426D7">
      <w:r>
        <w:separator/>
      </w:r>
    </w:p>
  </w:endnote>
  <w:endnote w:type="continuationSeparator" w:id="0">
    <w:p w:rsidR="003426D7" w:rsidRDefault="00342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6D7" w:rsidRDefault="003426D7">
      <w:r>
        <w:separator/>
      </w:r>
    </w:p>
  </w:footnote>
  <w:footnote w:type="continuationSeparator" w:id="0">
    <w:p w:rsidR="003426D7" w:rsidRDefault="00342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983" w:rsidRDefault="000F5983">
    <w:pPr>
      <w:pStyle w:val="a5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135" cy="146050"/>
              <wp:effectExtent l="0" t="0" r="9525" b="9525"/>
              <wp:wrapSquare wrapText="bothSides"/>
              <wp:docPr id="1" name="Врезка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0F5983" w:rsidRDefault="000F5983">
                          <w:pPr>
                            <w:pStyle w:val="a5"/>
                          </w:pPr>
                          <w:r>
                            <w:rPr>
                              <w:rStyle w:val="a9"/>
                            </w:rPr>
                            <w:fldChar w:fldCharType="begin"/>
                          </w:r>
                          <w:r>
                            <w:rPr>
                              <w:rStyle w:val="a9"/>
                            </w:rPr>
                            <w:instrText xml:space="preserve"> PAGE </w:instrText>
                          </w:r>
                          <w:r>
                            <w:rPr>
                              <w:rStyle w:val="a9"/>
                            </w:rPr>
                            <w:fldChar w:fldCharType="separate"/>
                          </w:r>
                          <w:r w:rsidR="00152FE1">
                            <w:rPr>
                              <w:rStyle w:val="a9"/>
                              <w:noProof/>
                            </w:rPr>
                            <w:t>2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1" o:spid="_x0000_s1026" type="#_x0000_t202" style="position:absolute;margin-left:-46.15pt;margin-top:.05pt;width:5.05pt;height:11.5pt;z-index:251659264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" filled="f" stroked="f">
              <v:path arrowok="t"/>
              <v:textbox style="mso-fit-shape-to-text:t" inset="0,0,0,0">
                <w:txbxContent>
                  <w:p w:rsidR="000F5983" w:rsidRDefault="000F5983">
                    <w:pPr>
                      <w:pStyle w:val="a5"/>
                    </w:pPr>
                    <w:r>
                      <w:rPr>
                        <w:rStyle w:val="a9"/>
                      </w:rPr>
                      <w:fldChar w:fldCharType="begin"/>
                    </w:r>
                    <w:r>
                      <w:rPr>
                        <w:rStyle w:val="a9"/>
                      </w:rPr>
                      <w:instrText xml:space="preserve"> PAGE </w:instrText>
                    </w:r>
                    <w:r>
                      <w:rPr>
                        <w:rStyle w:val="a9"/>
                      </w:rPr>
                      <w:fldChar w:fldCharType="separate"/>
                    </w:r>
                    <w:r w:rsidR="00152FE1">
                      <w:rPr>
                        <w:rStyle w:val="a9"/>
                        <w:noProof/>
                      </w:rPr>
                      <w:t>2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3EC"/>
    <w:rsid w:val="00014DA0"/>
    <w:rsid w:val="00014FC5"/>
    <w:rsid w:val="00026E53"/>
    <w:rsid w:val="0004040B"/>
    <w:rsid w:val="00043878"/>
    <w:rsid w:val="00047057"/>
    <w:rsid w:val="00055BA4"/>
    <w:rsid w:val="00061A33"/>
    <w:rsid w:val="00062321"/>
    <w:rsid w:val="00071A7E"/>
    <w:rsid w:val="00075F93"/>
    <w:rsid w:val="000822CE"/>
    <w:rsid w:val="00082715"/>
    <w:rsid w:val="00082EDB"/>
    <w:rsid w:val="000A17A9"/>
    <w:rsid w:val="000A19EE"/>
    <w:rsid w:val="000A350C"/>
    <w:rsid w:val="000A4FFD"/>
    <w:rsid w:val="000A7335"/>
    <w:rsid w:val="000F0F39"/>
    <w:rsid w:val="000F5467"/>
    <w:rsid w:val="000F5983"/>
    <w:rsid w:val="0011063F"/>
    <w:rsid w:val="001235F4"/>
    <w:rsid w:val="00124256"/>
    <w:rsid w:val="00152FE1"/>
    <w:rsid w:val="0016677C"/>
    <w:rsid w:val="001735E7"/>
    <w:rsid w:val="001745B4"/>
    <w:rsid w:val="00182928"/>
    <w:rsid w:val="00182E3C"/>
    <w:rsid w:val="00184361"/>
    <w:rsid w:val="00186D62"/>
    <w:rsid w:val="00187C91"/>
    <w:rsid w:val="001917CF"/>
    <w:rsid w:val="0019351D"/>
    <w:rsid w:val="0019739A"/>
    <w:rsid w:val="001A426C"/>
    <w:rsid w:val="001A47A9"/>
    <w:rsid w:val="001A7EA2"/>
    <w:rsid w:val="001B01E4"/>
    <w:rsid w:val="001B09DF"/>
    <w:rsid w:val="001B63D4"/>
    <w:rsid w:val="001D358F"/>
    <w:rsid w:val="001D727D"/>
    <w:rsid w:val="001E3FCA"/>
    <w:rsid w:val="001E4466"/>
    <w:rsid w:val="002036BB"/>
    <w:rsid w:val="00212F69"/>
    <w:rsid w:val="002151AD"/>
    <w:rsid w:val="0022102E"/>
    <w:rsid w:val="00222176"/>
    <w:rsid w:val="0022243F"/>
    <w:rsid w:val="00225564"/>
    <w:rsid w:val="0023083F"/>
    <w:rsid w:val="002461A9"/>
    <w:rsid w:val="00250DCF"/>
    <w:rsid w:val="002552B9"/>
    <w:rsid w:val="00261A23"/>
    <w:rsid w:val="00286C24"/>
    <w:rsid w:val="002878AC"/>
    <w:rsid w:val="0029681A"/>
    <w:rsid w:val="00296BE9"/>
    <w:rsid w:val="00297291"/>
    <w:rsid w:val="00297E3D"/>
    <w:rsid w:val="002A0E09"/>
    <w:rsid w:val="002A4C70"/>
    <w:rsid w:val="002B6B8C"/>
    <w:rsid w:val="002C0EAF"/>
    <w:rsid w:val="002C1CF1"/>
    <w:rsid w:val="002D6708"/>
    <w:rsid w:val="002E032C"/>
    <w:rsid w:val="002F4C0A"/>
    <w:rsid w:val="00304342"/>
    <w:rsid w:val="003426D7"/>
    <w:rsid w:val="00342A3B"/>
    <w:rsid w:val="00356BA3"/>
    <w:rsid w:val="003613F1"/>
    <w:rsid w:val="00361B5E"/>
    <w:rsid w:val="00367F3B"/>
    <w:rsid w:val="00376927"/>
    <w:rsid w:val="003769D4"/>
    <w:rsid w:val="00386BC0"/>
    <w:rsid w:val="00390C7E"/>
    <w:rsid w:val="00393859"/>
    <w:rsid w:val="003A00FA"/>
    <w:rsid w:val="003B456C"/>
    <w:rsid w:val="003C031A"/>
    <w:rsid w:val="003C0BA0"/>
    <w:rsid w:val="003C3552"/>
    <w:rsid w:val="003D5B77"/>
    <w:rsid w:val="003D6F1C"/>
    <w:rsid w:val="003E5899"/>
    <w:rsid w:val="003F64E0"/>
    <w:rsid w:val="00402CB3"/>
    <w:rsid w:val="00404901"/>
    <w:rsid w:val="004054ED"/>
    <w:rsid w:val="00412624"/>
    <w:rsid w:val="004175DE"/>
    <w:rsid w:val="0042534F"/>
    <w:rsid w:val="00426272"/>
    <w:rsid w:val="00426EDC"/>
    <w:rsid w:val="004279B2"/>
    <w:rsid w:val="00431FFE"/>
    <w:rsid w:val="004362B3"/>
    <w:rsid w:val="00440B28"/>
    <w:rsid w:val="00447C1E"/>
    <w:rsid w:val="0045171C"/>
    <w:rsid w:val="00453DF6"/>
    <w:rsid w:val="00457690"/>
    <w:rsid w:val="00462B34"/>
    <w:rsid w:val="00471DB2"/>
    <w:rsid w:val="00473E1E"/>
    <w:rsid w:val="00480679"/>
    <w:rsid w:val="0049013D"/>
    <w:rsid w:val="004B2534"/>
    <w:rsid w:val="004B439A"/>
    <w:rsid w:val="004B7641"/>
    <w:rsid w:val="004C0A81"/>
    <w:rsid w:val="004C4857"/>
    <w:rsid w:val="004D19F9"/>
    <w:rsid w:val="004F2F24"/>
    <w:rsid w:val="005040C9"/>
    <w:rsid w:val="00504679"/>
    <w:rsid w:val="005070C0"/>
    <w:rsid w:val="005323C1"/>
    <w:rsid w:val="00534912"/>
    <w:rsid w:val="0054197A"/>
    <w:rsid w:val="005468D1"/>
    <w:rsid w:val="00550ABC"/>
    <w:rsid w:val="005527B9"/>
    <w:rsid w:val="00554975"/>
    <w:rsid w:val="00556CA8"/>
    <w:rsid w:val="00557156"/>
    <w:rsid w:val="00557A5E"/>
    <w:rsid w:val="0056401D"/>
    <w:rsid w:val="005662F1"/>
    <w:rsid w:val="00570841"/>
    <w:rsid w:val="005754D6"/>
    <w:rsid w:val="00576AF6"/>
    <w:rsid w:val="005804C5"/>
    <w:rsid w:val="00582269"/>
    <w:rsid w:val="00590619"/>
    <w:rsid w:val="00591661"/>
    <w:rsid w:val="00595A33"/>
    <w:rsid w:val="005A111A"/>
    <w:rsid w:val="005B1654"/>
    <w:rsid w:val="005E17B2"/>
    <w:rsid w:val="005F1BF2"/>
    <w:rsid w:val="0060222D"/>
    <w:rsid w:val="00606D39"/>
    <w:rsid w:val="00606F2B"/>
    <w:rsid w:val="0061149C"/>
    <w:rsid w:val="00641856"/>
    <w:rsid w:val="006463EC"/>
    <w:rsid w:val="00646B0D"/>
    <w:rsid w:val="0064715A"/>
    <w:rsid w:val="006663DF"/>
    <w:rsid w:val="006740FF"/>
    <w:rsid w:val="00676708"/>
    <w:rsid w:val="006844FC"/>
    <w:rsid w:val="006908E5"/>
    <w:rsid w:val="00690E96"/>
    <w:rsid w:val="0069404F"/>
    <w:rsid w:val="006A1B8F"/>
    <w:rsid w:val="006B6927"/>
    <w:rsid w:val="006B7331"/>
    <w:rsid w:val="006C0AA8"/>
    <w:rsid w:val="006C7270"/>
    <w:rsid w:val="006D5299"/>
    <w:rsid w:val="006F1126"/>
    <w:rsid w:val="006F2B66"/>
    <w:rsid w:val="006F2C0F"/>
    <w:rsid w:val="00700578"/>
    <w:rsid w:val="00723607"/>
    <w:rsid w:val="00724386"/>
    <w:rsid w:val="00724B35"/>
    <w:rsid w:val="00730363"/>
    <w:rsid w:val="0073167A"/>
    <w:rsid w:val="00731CC1"/>
    <w:rsid w:val="00734DC1"/>
    <w:rsid w:val="00743901"/>
    <w:rsid w:val="00743D52"/>
    <w:rsid w:val="0077011C"/>
    <w:rsid w:val="007969C0"/>
    <w:rsid w:val="007A0D99"/>
    <w:rsid w:val="007C2927"/>
    <w:rsid w:val="007E1212"/>
    <w:rsid w:val="007F162A"/>
    <w:rsid w:val="00810D06"/>
    <w:rsid w:val="00814C53"/>
    <w:rsid w:val="00816058"/>
    <w:rsid w:val="008435C7"/>
    <w:rsid w:val="00844C13"/>
    <w:rsid w:val="008518C5"/>
    <w:rsid w:val="008531D5"/>
    <w:rsid w:val="008545AF"/>
    <w:rsid w:val="00857E22"/>
    <w:rsid w:val="008629A5"/>
    <w:rsid w:val="008723D0"/>
    <w:rsid w:val="0087360A"/>
    <w:rsid w:val="008762F1"/>
    <w:rsid w:val="00881C88"/>
    <w:rsid w:val="008837A0"/>
    <w:rsid w:val="00884EFF"/>
    <w:rsid w:val="00885406"/>
    <w:rsid w:val="0088726B"/>
    <w:rsid w:val="00897FE6"/>
    <w:rsid w:val="008A0582"/>
    <w:rsid w:val="008A0CB8"/>
    <w:rsid w:val="008C3F6E"/>
    <w:rsid w:val="008D2069"/>
    <w:rsid w:val="008E3D97"/>
    <w:rsid w:val="008E4D7B"/>
    <w:rsid w:val="008F1DEF"/>
    <w:rsid w:val="00903BFA"/>
    <w:rsid w:val="0091250C"/>
    <w:rsid w:val="00915FC7"/>
    <w:rsid w:val="00916AB5"/>
    <w:rsid w:val="00917F39"/>
    <w:rsid w:val="009257D0"/>
    <w:rsid w:val="00933106"/>
    <w:rsid w:val="00942581"/>
    <w:rsid w:val="00950B37"/>
    <w:rsid w:val="00955BDA"/>
    <w:rsid w:val="00957FB9"/>
    <w:rsid w:val="00960BE4"/>
    <w:rsid w:val="00963398"/>
    <w:rsid w:val="0097110F"/>
    <w:rsid w:val="009801F1"/>
    <w:rsid w:val="00980C31"/>
    <w:rsid w:val="009811E9"/>
    <w:rsid w:val="00986EE9"/>
    <w:rsid w:val="00994FCD"/>
    <w:rsid w:val="00996C40"/>
    <w:rsid w:val="009A25C1"/>
    <w:rsid w:val="009B6FD0"/>
    <w:rsid w:val="009B7010"/>
    <w:rsid w:val="009C05B4"/>
    <w:rsid w:val="009C2F5B"/>
    <w:rsid w:val="009C35F4"/>
    <w:rsid w:val="009C5966"/>
    <w:rsid w:val="009E6EF6"/>
    <w:rsid w:val="009E6F92"/>
    <w:rsid w:val="009F447F"/>
    <w:rsid w:val="009F5153"/>
    <w:rsid w:val="00A0019C"/>
    <w:rsid w:val="00A018C9"/>
    <w:rsid w:val="00A32DB4"/>
    <w:rsid w:val="00A3367B"/>
    <w:rsid w:val="00A42C64"/>
    <w:rsid w:val="00A4407C"/>
    <w:rsid w:val="00A53294"/>
    <w:rsid w:val="00A550E8"/>
    <w:rsid w:val="00A70BB6"/>
    <w:rsid w:val="00A764FA"/>
    <w:rsid w:val="00A87880"/>
    <w:rsid w:val="00A96C33"/>
    <w:rsid w:val="00AA2714"/>
    <w:rsid w:val="00AA46D9"/>
    <w:rsid w:val="00AC061B"/>
    <w:rsid w:val="00AD10F6"/>
    <w:rsid w:val="00AD470C"/>
    <w:rsid w:val="00AE2BA6"/>
    <w:rsid w:val="00AF67D0"/>
    <w:rsid w:val="00AF7D7E"/>
    <w:rsid w:val="00B013AA"/>
    <w:rsid w:val="00B02C0F"/>
    <w:rsid w:val="00B124E1"/>
    <w:rsid w:val="00B31552"/>
    <w:rsid w:val="00B356CE"/>
    <w:rsid w:val="00B41633"/>
    <w:rsid w:val="00B46BD3"/>
    <w:rsid w:val="00B534C6"/>
    <w:rsid w:val="00B67EAF"/>
    <w:rsid w:val="00B76864"/>
    <w:rsid w:val="00B81E67"/>
    <w:rsid w:val="00BA6987"/>
    <w:rsid w:val="00BA71AD"/>
    <w:rsid w:val="00BB4CF3"/>
    <w:rsid w:val="00BB786E"/>
    <w:rsid w:val="00BC28F2"/>
    <w:rsid w:val="00BD307F"/>
    <w:rsid w:val="00BD636C"/>
    <w:rsid w:val="00BE75AC"/>
    <w:rsid w:val="00BF254F"/>
    <w:rsid w:val="00BF31C2"/>
    <w:rsid w:val="00BF73A0"/>
    <w:rsid w:val="00BF75DB"/>
    <w:rsid w:val="00C04766"/>
    <w:rsid w:val="00C14357"/>
    <w:rsid w:val="00C151F4"/>
    <w:rsid w:val="00C2310E"/>
    <w:rsid w:val="00C31936"/>
    <w:rsid w:val="00C40A8E"/>
    <w:rsid w:val="00C445A4"/>
    <w:rsid w:val="00C44EED"/>
    <w:rsid w:val="00C456F1"/>
    <w:rsid w:val="00C76F2B"/>
    <w:rsid w:val="00C82DE7"/>
    <w:rsid w:val="00C83B93"/>
    <w:rsid w:val="00C94B95"/>
    <w:rsid w:val="00CA1F8E"/>
    <w:rsid w:val="00CB49F5"/>
    <w:rsid w:val="00CB6914"/>
    <w:rsid w:val="00CC0441"/>
    <w:rsid w:val="00CC0B30"/>
    <w:rsid w:val="00CC5828"/>
    <w:rsid w:val="00CD5016"/>
    <w:rsid w:val="00CD7D12"/>
    <w:rsid w:val="00CE49BA"/>
    <w:rsid w:val="00CE6C48"/>
    <w:rsid w:val="00CF4C06"/>
    <w:rsid w:val="00CF4CF9"/>
    <w:rsid w:val="00D03334"/>
    <w:rsid w:val="00D06ABC"/>
    <w:rsid w:val="00D1223B"/>
    <w:rsid w:val="00D12CA7"/>
    <w:rsid w:val="00D13BFB"/>
    <w:rsid w:val="00D162F2"/>
    <w:rsid w:val="00D167D0"/>
    <w:rsid w:val="00D17C3F"/>
    <w:rsid w:val="00D2718E"/>
    <w:rsid w:val="00D31E8D"/>
    <w:rsid w:val="00D335D7"/>
    <w:rsid w:val="00D36F9D"/>
    <w:rsid w:val="00D509F4"/>
    <w:rsid w:val="00D57E9C"/>
    <w:rsid w:val="00D62807"/>
    <w:rsid w:val="00D7034F"/>
    <w:rsid w:val="00D7048A"/>
    <w:rsid w:val="00D71AB7"/>
    <w:rsid w:val="00D90105"/>
    <w:rsid w:val="00DA059A"/>
    <w:rsid w:val="00DC1E8F"/>
    <w:rsid w:val="00DC3F07"/>
    <w:rsid w:val="00DE3CB6"/>
    <w:rsid w:val="00DE3D7E"/>
    <w:rsid w:val="00DE6D03"/>
    <w:rsid w:val="00DE7D0C"/>
    <w:rsid w:val="00E0173B"/>
    <w:rsid w:val="00E01B48"/>
    <w:rsid w:val="00E05F3E"/>
    <w:rsid w:val="00E2399F"/>
    <w:rsid w:val="00E260AA"/>
    <w:rsid w:val="00E261C6"/>
    <w:rsid w:val="00E262D7"/>
    <w:rsid w:val="00E30D77"/>
    <w:rsid w:val="00E445B7"/>
    <w:rsid w:val="00E447DF"/>
    <w:rsid w:val="00E5380F"/>
    <w:rsid w:val="00E5427A"/>
    <w:rsid w:val="00E74AA8"/>
    <w:rsid w:val="00E76995"/>
    <w:rsid w:val="00E8045B"/>
    <w:rsid w:val="00E823C6"/>
    <w:rsid w:val="00E83FFC"/>
    <w:rsid w:val="00E8664C"/>
    <w:rsid w:val="00E922CA"/>
    <w:rsid w:val="00E97234"/>
    <w:rsid w:val="00EB130F"/>
    <w:rsid w:val="00EC19C5"/>
    <w:rsid w:val="00EC52C0"/>
    <w:rsid w:val="00EC5A6A"/>
    <w:rsid w:val="00EC6D11"/>
    <w:rsid w:val="00EE01F3"/>
    <w:rsid w:val="00EE3E09"/>
    <w:rsid w:val="00F109E9"/>
    <w:rsid w:val="00F13C17"/>
    <w:rsid w:val="00F15AB9"/>
    <w:rsid w:val="00F20776"/>
    <w:rsid w:val="00F20C33"/>
    <w:rsid w:val="00F309E0"/>
    <w:rsid w:val="00F34262"/>
    <w:rsid w:val="00F4422A"/>
    <w:rsid w:val="00F447FC"/>
    <w:rsid w:val="00F44A5F"/>
    <w:rsid w:val="00F606D5"/>
    <w:rsid w:val="00F66F92"/>
    <w:rsid w:val="00F7649C"/>
    <w:rsid w:val="00F76D1F"/>
    <w:rsid w:val="00F81971"/>
    <w:rsid w:val="00F83F6D"/>
    <w:rsid w:val="00F969A5"/>
    <w:rsid w:val="00F97EC0"/>
    <w:rsid w:val="00FA3440"/>
    <w:rsid w:val="00FC2166"/>
    <w:rsid w:val="00FC2A5D"/>
    <w:rsid w:val="00FC5EBC"/>
    <w:rsid w:val="00FC7BDF"/>
    <w:rsid w:val="00FD3A32"/>
    <w:rsid w:val="00FD573A"/>
    <w:rsid w:val="00FD6004"/>
    <w:rsid w:val="00FE3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5A999E-4124-4153-82B2-DE017A98E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463E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перед заголовком 2"/>
    <w:basedOn w:val="a"/>
    <w:next w:val="a"/>
    <w:link w:val="10"/>
    <w:qFormat/>
    <w:rsid w:val="00E261C6"/>
    <w:pPr>
      <w:keepNext/>
      <w:widowControl/>
      <w:suppressAutoHyphens w:val="0"/>
      <w:autoSpaceDN/>
      <w:spacing w:before="240" w:after="60"/>
      <w:jc w:val="center"/>
      <w:textAlignment w:val="auto"/>
      <w:outlineLvl w:val="0"/>
    </w:pPr>
    <w:rPr>
      <w:rFonts w:eastAsia="Times New Roman" w:cs="Times New Roman"/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463E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3">
    <w:name w:val="Title"/>
    <w:basedOn w:val="Standard"/>
    <w:next w:val="Textbody"/>
    <w:link w:val="a4"/>
    <w:rsid w:val="006463E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a4">
    <w:name w:val="Название Знак"/>
    <w:basedOn w:val="a0"/>
    <w:link w:val="a3"/>
    <w:rsid w:val="006463EC"/>
    <w:rPr>
      <w:rFonts w:ascii="Arial" w:eastAsia="MS Mincho" w:hAnsi="Arial" w:cs="Tahoma"/>
      <w:kern w:val="3"/>
      <w:sz w:val="28"/>
      <w:szCs w:val="28"/>
      <w:lang w:eastAsia="ru-RU"/>
    </w:rPr>
  </w:style>
  <w:style w:type="paragraph" w:customStyle="1" w:styleId="Textbody">
    <w:name w:val="Text body"/>
    <w:basedOn w:val="Standard"/>
    <w:rsid w:val="006463EC"/>
    <w:rPr>
      <w:sz w:val="28"/>
    </w:rPr>
  </w:style>
  <w:style w:type="paragraph" w:styleId="a5">
    <w:name w:val="header"/>
    <w:basedOn w:val="Standard"/>
    <w:link w:val="a6"/>
    <w:rsid w:val="006463E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6463EC"/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caaieiaie11">
    <w:name w:val="caaieiaie 11"/>
    <w:basedOn w:val="Standard"/>
    <w:next w:val="Standard"/>
    <w:rsid w:val="006463EC"/>
    <w:pPr>
      <w:keepNext/>
      <w:overflowPunct w:val="0"/>
      <w:autoSpaceDE w:val="0"/>
      <w:jc w:val="center"/>
    </w:pPr>
    <w:rPr>
      <w:sz w:val="24"/>
      <w:szCs w:val="24"/>
    </w:rPr>
  </w:style>
  <w:style w:type="paragraph" w:styleId="a7">
    <w:name w:val="footer"/>
    <w:basedOn w:val="Standard"/>
    <w:link w:val="a8"/>
    <w:rsid w:val="006463EC"/>
    <w:pPr>
      <w:suppressLineNumbers/>
      <w:tabs>
        <w:tab w:val="center" w:pos="4818"/>
        <w:tab w:val="right" w:pos="9637"/>
      </w:tabs>
    </w:pPr>
  </w:style>
  <w:style w:type="character" w:customStyle="1" w:styleId="a8">
    <w:name w:val="Нижний колонтитул Знак"/>
    <w:basedOn w:val="a0"/>
    <w:link w:val="a7"/>
    <w:rsid w:val="006463EC"/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styleId="a9">
    <w:name w:val="page number"/>
    <w:basedOn w:val="a0"/>
    <w:rsid w:val="006463EC"/>
  </w:style>
  <w:style w:type="table" w:styleId="aa">
    <w:name w:val="Table Grid"/>
    <w:basedOn w:val="a1"/>
    <w:uiPriority w:val="59"/>
    <w:rsid w:val="008E4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C05B4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05B4"/>
    <w:rPr>
      <w:rFonts w:ascii="Tahoma" w:eastAsia="Arial Unicode MS" w:hAnsi="Tahoma" w:cs="Tahoma"/>
      <w:kern w:val="3"/>
      <w:sz w:val="16"/>
      <w:szCs w:val="16"/>
      <w:lang w:eastAsia="ru-RU"/>
    </w:rPr>
  </w:style>
  <w:style w:type="paragraph" w:styleId="ad">
    <w:name w:val="footnote text"/>
    <w:basedOn w:val="a"/>
    <w:link w:val="ae"/>
    <w:rsid w:val="001735E7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/>
    </w:rPr>
  </w:style>
  <w:style w:type="character" w:customStyle="1" w:styleId="ae">
    <w:name w:val="Текст сноски Знак"/>
    <w:basedOn w:val="a0"/>
    <w:link w:val="ad"/>
    <w:rsid w:val="001735E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">
    <w:name w:val="footnote reference"/>
    <w:basedOn w:val="a0"/>
    <w:rsid w:val="001735E7"/>
    <w:rPr>
      <w:vertAlign w:val="superscript"/>
    </w:rPr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перед заголовком 2 Знак"/>
    <w:basedOn w:val="a0"/>
    <w:link w:val="1"/>
    <w:rsid w:val="00E261C6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ng-binding">
    <w:name w:val="ng-binding"/>
    <w:basedOn w:val="a0"/>
    <w:rsid w:val="00E26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3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FC6F9-412A-4264-B5CB-AAED8F7B8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GAGLOSHVILI</dc:creator>
  <cp:lastModifiedBy>Бикоева Белла Батразовна</cp:lastModifiedBy>
  <cp:revision>12</cp:revision>
  <cp:lastPrinted>2021-03-03T12:40:00Z</cp:lastPrinted>
  <dcterms:created xsi:type="dcterms:W3CDTF">2021-06-18T13:12:00Z</dcterms:created>
  <dcterms:modified xsi:type="dcterms:W3CDTF">2021-07-30T08:32:00Z</dcterms:modified>
</cp:coreProperties>
</file>