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83" w:rsidRDefault="000D1F83" w:rsidP="000D1F83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C027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  <w:t>Описание объекта закупки</w:t>
      </w:r>
    </w:p>
    <w:p w:rsidR="000D1F83" w:rsidRPr="00C02796" w:rsidRDefault="000D1F83" w:rsidP="000D1F83">
      <w:pPr>
        <w:suppressAutoHyphens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D1F83" w:rsidRDefault="000D1F83" w:rsidP="000D1F83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en-US"/>
        </w:rPr>
      </w:pPr>
      <w:r w:rsidRPr="00C0279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ru-RU"/>
        </w:rPr>
        <w:t>Объект закупки:</w:t>
      </w:r>
    </w:p>
    <w:p w:rsidR="000D1F83" w:rsidRDefault="000D1F83" w:rsidP="000D1F8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C027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Оказание услуг по паспортизации отходов, образующихся в процессе деятельности Государственного учреждения – Московского регионального отделения Фонда социального страхования Российской Федерации, с обоснованием отнесения отходов к конкретному классу опасности.</w:t>
      </w:r>
    </w:p>
    <w:p w:rsidR="000D1F83" w:rsidRDefault="000D1F83" w:rsidP="000D1F8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0D1F83" w:rsidRPr="000D1F83" w:rsidRDefault="000D1F83" w:rsidP="000D1F83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-142" w:firstLine="14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PT Astra Serif" w:hAnsi="PT Astra Serif"/>
          <w:b/>
          <w:sz w:val="24"/>
        </w:rPr>
        <w:t>Перечень видов отходов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40"/>
        <w:gridCol w:w="7648"/>
        <w:gridCol w:w="2126"/>
      </w:tblGrid>
      <w:tr w:rsidR="000D1F83" w:rsidTr="00D80092">
        <w:tc>
          <w:tcPr>
            <w:tcW w:w="540" w:type="dxa"/>
            <w:vAlign w:val="center"/>
          </w:tcPr>
          <w:p w:rsidR="000D1F83" w:rsidRPr="000D1F83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48" w:type="dxa"/>
            <w:vAlign w:val="center"/>
          </w:tcPr>
          <w:p w:rsidR="000D1F83" w:rsidRPr="000D1F83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вида отходов</w:t>
            </w:r>
          </w:p>
        </w:tc>
        <w:tc>
          <w:tcPr>
            <w:tcW w:w="2126" w:type="dxa"/>
            <w:vAlign w:val="center"/>
          </w:tcPr>
          <w:p w:rsidR="000D1F83" w:rsidRPr="000D1F83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F8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Код по ФККО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Лампы ртутные, ртутно-кварцевые, люминесцентные, утратившие потребительские свойства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4 71 101 01 52 1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Светодиодные лампы, утратившие потребительские свойства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4 82 415 01 52 4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 со светодиодными элементами в сборе, утратившие потребительские свойства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4 82 427 11 52 4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48" w:type="dxa"/>
          </w:tcPr>
          <w:p w:rsidR="000D1F83" w:rsidRPr="00CC0EE4" w:rsidRDefault="000D1F83" w:rsidP="00D8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Огнетушители углекислотные, утратившие потребительские свойства</w:t>
            </w:r>
          </w:p>
        </w:tc>
        <w:tc>
          <w:tcPr>
            <w:tcW w:w="2126" w:type="dxa"/>
          </w:tcPr>
          <w:p w:rsidR="000D1F83" w:rsidRPr="00CC0EE4" w:rsidRDefault="000D1F83" w:rsidP="00671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4 89 221 21 52 4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48" w:type="dxa"/>
          </w:tcPr>
          <w:p w:rsidR="000D1F83" w:rsidRPr="00CC0EE4" w:rsidRDefault="000D1F83" w:rsidP="00D8009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Огнетушители </w:t>
            </w:r>
            <w:proofErr w:type="spellStart"/>
            <w:r w:rsidRPr="00CC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самосрабатывающие</w:t>
            </w:r>
            <w:proofErr w:type="spellEnd"/>
            <w:r w:rsidRPr="00CC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порошковые, утратившие потребительские свойства</w:t>
            </w:r>
          </w:p>
        </w:tc>
        <w:tc>
          <w:tcPr>
            <w:tcW w:w="2126" w:type="dxa"/>
          </w:tcPr>
          <w:p w:rsidR="000D1F83" w:rsidRPr="00CC0EE4" w:rsidRDefault="000D1F83" w:rsidP="00671E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0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4 89 221 11 52 4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 от офисных и бытовых помещений организаций несортированный (исключая крупногабаритный)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7 33 100 01 72 4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мебели деревянной офисной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4 92 111 11 72 4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мебели из разнородных материалов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4 92 111 81 52 4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Картриджи печатающих устройств с содержанием тонера менее 7 % отработанные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4 81 203 02 52 4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компьютера, утративший потребительские свойства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4 81 201 01 52 4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6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Мониторы компьютерные жидкокристаллические, утратившие потребительские свойства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4 81 205 02 52 4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Принтеры, сканеры, многофункциональные устройства (МФУ), утратившие потребительские свойства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4 81 202 01 52 4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Клавиатура, манипулятор «мышь» с соединительными проводами, утратившие потребительские свойства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4 81 204 01 52 4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Сплит-системы кондиционирования бытовые, не содержащие </w:t>
            </w:r>
            <w:proofErr w:type="spellStart"/>
            <w:r w:rsidRPr="00AE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озоноразрушающих</w:t>
            </w:r>
            <w:proofErr w:type="spellEnd"/>
            <w:r w:rsidRPr="00AE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утра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тившие потребительские свойства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3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4 82 713 15 52 4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48" w:type="dxa"/>
          </w:tcPr>
          <w:p w:rsidR="000D1F83" w:rsidRPr="00325AA3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Холодильники бытовые, не содержащие </w:t>
            </w:r>
            <w:proofErr w:type="spellStart"/>
            <w:r w:rsidRPr="0032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озоноразрушающих</w:t>
            </w:r>
            <w:proofErr w:type="spellEnd"/>
            <w:r w:rsidRPr="0032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веществ, утратившие потребительские свойства</w:t>
            </w:r>
          </w:p>
        </w:tc>
        <w:tc>
          <w:tcPr>
            <w:tcW w:w="2126" w:type="dxa"/>
          </w:tcPr>
          <w:p w:rsidR="000D1F83" w:rsidRPr="00325AA3" w:rsidRDefault="000D1F83" w:rsidP="00671EFC">
            <w:pPr>
              <w:suppressAutoHyphens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A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4 82 511 11 52 4 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Отходы бумаги и картона от канцелярской деятельности и делопроизводства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4 05 122 02 60 5</w:t>
            </w:r>
          </w:p>
        </w:tc>
      </w:tr>
      <w:tr w:rsidR="000D1F83" w:rsidTr="00D80092">
        <w:tc>
          <w:tcPr>
            <w:tcW w:w="540" w:type="dxa"/>
            <w:vAlign w:val="center"/>
          </w:tcPr>
          <w:p w:rsidR="000D1F83" w:rsidRPr="005B6C12" w:rsidRDefault="000D1F83" w:rsidP="00671EFC">
            <w:pPr>
              <w:suppressAutoHyphens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48" w:type="dxa"/>
            <w:vAlign w:val="center"/>
          </w:tcPr>
          <w:p w:rsidR="000D1F83" w:rsidRPr="00F424BF" w:rsidRDefault="000D1F83" w:rsidP="00D80092">
            <w:pPr>
              <w:suppressAutoHyphens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 с территории предприятия практически неопасный</w:t>
            </w:r>
          </w:p>
        </w:tc>
        <w:tc>
          <w:tcPr>
            <w:tcW w:w="2126" w:type="dxa"/>
            <w:vAlign w:val="center"/>
          </w:tcPr>
          <w:p w:rsidR="000D1F83" w:rsidRPr="00F424BF" w:rsidRDefault="000D1F83" w:rsidP="00671EFC">
            <w:pPr>
              <w:suppressAutoHyphens w:val="0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4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7 33 390 02 71 5</w:t>
            </w:r>
          </w:p>
        </w:tc>
      </w:tr>
    </w:tbl>
    <w:p w:rsidR="000D1F83" w:rsidRPr="00C02796" w:rsidRDefault="000D1F83" w:rsidP="000D1F83">
      <w:pPr>
        <w:suppressAutoHyphens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tbl>
      <w:tblPr>
        <w:tblStyle w:val="a3"/>
        <w:tblW w:w="10225" w:type="dxa"/>
        <w:tblLook w:val="04A0" w:firstRow="1" w:lastRow="0" w:firstColumn="1" w:lastColumn="0" w:noHBand="0" w:noVBand="1"/>
      </w:tblPr>
      <w:tblGrid>
        <w:gridCol w:w="10225"/>
      </w:tblGrid>
      <w:tr w:rsidR="000D1F83" w:rsidTr="00E85129">
        <w:trPr>
          <w:trHeight w:val="243"/>
        </w:trPr>
        <w:tc>
          <w:tcPr>
            <w:tcW w:w="10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F83" w:rsidRPr="000D1F83" w:rsidRDefault="000D1F83" w:rsidP="000D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800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и порядок оказания услуг</w:t>
            </w:r>
          </w:p>
        </w:tc>
      </w:tr>
      <w:tr w:rsidR="000D1F83" w:rsidTr="00E85129">
        <w:trPr>
          <w:trHeight w:val="144"/>
        </w:trPr>
        <w:tc>
          <w:tcPr>
            <w:tcW w:w="10225" w:type="dxa"/>
            <w:tcBorders>
              <w:top w:val="single" w:sz="4" w:space="0" w:color="auto"/>
            </w:tcBorders>
          </w:tcPr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Оказание услуг по паспортизации отходов, образующихся в процессе деятельности Заказчика, с обоснованием отнесения отходов к конкретному классу опасности (далее – услуги), должно осуществляться по адресам: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 РФ, 115193, г. Москва, ул. Петра Романова, д. 16, стр. 1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1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 РФ, 109147, г. Москва,</w:t>
            </w:r>
            <w:r w:rsidRPr="00A81E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81E9C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ул. Марксистская, д. 34, корп. 7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A81E9C">
              <w:rPr>
                <w:rFonts w:ascii="Times New Roman" w:hAnsi="Times New Roman"/>
                <w:sz w:val="24"/>
                <w:szCs w:val="24"/>
              </w:rPr>
              <w:t xml:space="preserve">3. РФ, 111398, г. Москва, ул. </w:t>
            </w:r>
            <w:proofErr w:type="spellStart"/>
            <w:r w:rsidRPr="00A81E9C">
              <w:rPr>
                <w:rFonts w:ascii="Times New Roman" w:hAnsi="Times New Roman"/>
                <w:sz w:val="24"/>
                <w:szCs w:val="24"/>
              </w:rPr>
              <w:t>Кусковская</w:t>
            </w:r>
            <w:proofErr w:type="spellEnd"/>
            <w:r w:rsidRPr="00A81E9C">
              <w:rPr>
                <w:rFonts w:ascii="Times New Roman" w:hAnsi="Times New Roman"/>
                <w:sz w:val="24"/>
                <w:szCs w:val="24"/>
              </w:rPr>
              <w:t>, д. 9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E9C">
              <w:rPr>
                <w:rFonts w:ascii="Times New Roman" w:hAnsi="Times New Roman"/>
                <w:sz w:val="24"/>
                <w:szCs w:val="24"/>
              </w:rPr>
              <w:t>4. РФ, 111141, г. Москва, Зеленый пр-т, д. 13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РФ, 117149, г. Москва, ул. </w:t>
            </w:r>
            <w:proofErr w:type="spellStart"/>
            <w:r w:rsidRPr="00A8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Сивашская</w:t>
            </w:r>
            <w:proofErr w:type="spellEnd"/>
            <w:r w:rsidRPr="00A8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7 кор.1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 РФ, 124460, г. Москва, Зеленоград, корп. 2003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 РФ, 127006, </w:t>
            </w:r>
            <w:r w:rsidRPr="00A81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 Москва</w:t>
            </w:r>
            <w:r w:rsidRPr="00A81E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Страстной бульвар, д. 7, стр.1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uppressAutoHyphens w:val="0"/>
              <w:snapToGri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81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 РФ, 101000, г. Москва, Лялин переулок, д.7/2, стр.4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32"/>
                <w:tab w:val="left" w:pos="2748"/>
                <w:tab w:val="left" w:pos="3119"/>
                <w:tab w:val="left" w:pos="354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9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 РФ, 119002, г. Москва, Смоленский бульвар, д. 20</w:t>
            </w:r>
          </w:p>
          <w:p w:rsidR="00462946" w:rsidRPr="00A81E9C" w:rsidRDefault="00462946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32"/>
                <w:tab w:val="left" w:pos="2748"/>
                <w:tab w:val="left" w:pos="3119"/>
                <w:tab w:val="left" w:pos="354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1F83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1832"/>
                <w:tab w:val="left" w:pos="2748"/>
                <w:tab w:val="left" w:pos="3119"/>
                <w:tab w:val="left" w:pos="354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1E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Перечень видов отходов в соответствии с Федеральным классификационным каталогом отходов (ФККО), утвержденным приказом Федеральной службой по надзору в сфере природопользования от 22.05.2017 № 242 «Об утверждении Федерального классификационного каталога отходов», образующихся в процессе деятельности Заказчика, приведен в ч. 2 настоящего описания объекта закупки.</w:t>
            </w:r>
          </w:p>
          <w:p w:rsidR="000D1F83" w:rsidRPr="00B15AB0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15AB0">
              <w:rPr>
                <w:rFonts w:ascii="Times New Roman" w:hAnsi="Times New Roman" w:cs="Times New Roman"/>
                <w:sz w:val="24"/>
                <w:szCs w:val="24"/>
              </w:rPr>
              <w:t>Оказание услуг должно включать:</w:t>
            </w:r>
          </w:p>
          <w:p w:rsidR="000D1F83" w:rsidRPr="00B15AB0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0">
              <w:rPr>
                <w:rFonts w:ascii="Times New Roman" w:hAnsi="Times New Roman" w:cs="Times New Roman"/>
                <w:sz w:val="24"/>
                <w:szCs w:val="24"/>
              </w:rPr>
              <w:t>- обоснование отнесения отходов к конкретному классу опасности (по каждому адресу Заказчика);</w:t>
            </w:r>
          </w:p>
          <w:p w:rsidR="000D1F83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AB0">
              <w:rPr>
                <w:rFonts w:ascii="Times New Roman" w:hAnsi="Times New Roman" w:cs="Times New Roman"/>
                <w:sz w:val="24"/>
                <w:szCs w:val="24"/>
              </w:rPr>
              <w:t>- составление паспортов на каждый вид отходов I - IV классов опасности по формам, утвержденным приказом Министерства природных ресурсов и экологии Российской Федерации от 08.12.2020 № 1026 «Об утверждении порядка паспортизации и типовых форм паспортов отходов I - IV классов опасности» (далее – Приказ Министерства природных ресурсов и экологии Российской Федерации от 08.12.2020 № 1026) (по каждому адресу Заказчика).</w:t>
            </w:r>
          </w:p>
          <w:p w:rsidR="000D1F83" w:rsidRPr="00B5396B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B">
              <w:rPr>
                <w:rFonts w:ascii="Times New Roman" w:hAnsi="Times New Roman" w:cs="Times New Roman"/>
                <w:sz w:val="24"/>
                <w:szCs w:val="24"/>
              </w:rPr>
              <w:t>Отнесение отходов к конкретному классу опасности должно осуществляться на основании критериев, утвержденных приказом Министерства природных ресурсов и экологии Российской Федерации от 04.12.2014 № 536 «Об утверждении критериев отнесения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ходов</w:t>
            </w:r>
            <w:r w:rsidRPr="00B5396B">
              <w:rPr>
                <w:rFonts w:ascii="Times New Roman" w:hAnsi="Times New Roman" w:cs="Times New Roman"/>
                <w:sz w:val="24"/>
                <w:szCs w:val="24"/>
              </w:rPr>
              <w:t xml:space="preserve"> I - V классов опасности по степени негативного воздействия на окружающую среду».</w:t>
            </w:r>
          </w:p>
          <w:p w:rsidR="000D1F83" w:rsidRPr="00B15AB0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B">
              <w:rPr>
                <w:rFonts w:ascii="Times New Roman" w:hAnsi="Times New Roman" w:cs="Times New Roman"/>
                <w:sz w:val="24"/>
                <w:szCs w:val="24"/>
              </w:rPr>
              <w:t>Подтверждение отнесения отходов к конкретному классу опасности должно осуществляться в порядке, утвержденном приказом Министерства природных ресурсов и экологии Российской Федерации от 08.12.2020 № 1027 «Об утверждении порядка подтверждения отнесения отходов I - V классов опасности к конкретному классу опасности».</w:t>
            </w:r>
          </w:p>
          <w:p w:rsidR="000D1F83" w:rsidRPr="00B5396B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B">
              <w:rPr>
                <w:rFonts w:ascii="Times New Roman" w:hAnsi="Times New Roman" w:cs="Times New Roman"/>
                <w:sz w:val="24"/>
                <w:szCs w:val="24"/>
              </w:rPr>
              <w:t>Паспортизация отходов должна осуществляться в порядке, утвержденном приказом Министерства природных ресурсов и экологии Российской Федерации от 08.12.2020 №1026.</w:t>
            </w:r>
          </w:p>
          <w:p w:rsidR="000D1F83" w:rsidRPr="00B5396B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B">
              <w:rPr>
                <w:rFonts w:ascii="Times New Roman" w:hAnsi="Times New Roman" w:cs="Times New Roman"/>
                <w:sz w:val="24"/>
                <w:szCs w:val="24"/>
              </w:rPr>
              <w:t>В результате оказанных услуг исполнитель должен предоставить Заказчику:</w:t>
            </w:r>
          </w:p>
          <w:p w:rsidR="000D1F83" w:rsidRPr="00B5396B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B">
              <w:rPr>
                <w:rFonts w:ascii="Times New Roman" w:hAnsi="Times New Roman" w:cs="Times New Roman"/>
                <w:sz w:val="24"/>
                <w:szCs w:val="24"/>
              </w:rPr>
              <w:t>- документы, обосновывающие отнесение отходов к конкретному классу опасности (по каждому адресу Заказчика);</w:t>
            </w:r>
          </w:p>
          <w:p w:rsidR="000D1F83" w:rsidRPr="00B5396B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B">
              <w:rPr>
                <w:rFonts w:ascii="Times New Roman" w:hAnsi="Times New Roman" w:cs="Times New Roman"/>
                <w:sz w:val="24"/>
                <w:szCs w:val="24"/>
              </w:rPr>
              <w:t>- оригиналы паспортов на каждый вид отходов I - IV классов опасности (по каждому адресу Заказчика), утвержденных Заказчиком;</w:t>
            </w:r>
          </w:p>
          <w:p w:rsidR="000D1F83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96B">
              <w:rPr>
                <w:rFonts w:ascii="Times New Roman" w:hAnsi="Times New Roman" w:cs="Times New Roman"/>
                <w:sz w:val="24"/>
                <w:szCs w:val="24"/>
              </w:rPr>
              <w:t>- иные документы, в случаях, предусмотренных действующим законодательством Российской Федерации, регламентирующим деятельность в данной сфере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>Оказание услуг должно осуществляться в соответствии</w:t>
            </w:r>
            <w:r w:rsidR="00EA654B" w:rsidRPr="00A81E9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>- Федеральны</w:t>
            </w:r>
            <w:r w:rsidR="00EA654B" w:rsidRPr="00A81E9C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>закон</w:t>
            </w:r>
            <w:r w:rsidR="00EA654B" w:rsidRPr="00A81E9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 xml:space="preserve"> от 30.03.1999 № 52-ФЗ «О санитарно-эпидемиологическом благополучии населения»;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>- Федеральны</w:t>
            </w:r>
            <w:r w:rsidR="00EA654B" w:rsidRPr="00A81E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EA654B" w:rsidRPr="00A81E9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 xml:space="preserve"> от 24.06.1998 № 89-ФЗ «Об отходах производства и потребления»; </w:t>
            </w:r>
          </w:p>
          <w:p w:rsidR="000D1F83" w:rsidRPr="00A81E9C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>- Федеральны</w:t>
            </w:r>
            <w:r w:rsidR="00EA654B" w:rsidRPr="00A81E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 xml:space="preserve"> закон</w:t>
            </w:r>
            <w:r w:rsidR="00EA654B" w:rsidRPr="00A81E9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 xml:space="preserve"> от 10.01.2002 № 7-ФЗ «Об охране окружающей среды»;</w:t>
            </w:r>
          </w:p>
          <w:p w:rsidR="000D1F83" w:rsidRPr="00A81E9C" w:rsidRDefault="000D1F83" w:rsidP="00E8512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>- приказ</w:t>
            </w:r>
            <w:r w:rsidR="00EA654B" w:rsidRPr="00A81E9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654B" w:rsidRPr="00A81E9C">
              <w:rPr>
                <w:rFonts w:ascii="Times New Roman" w:hAnsi="Times New Roman" w:cs="Times New Roman"/>
                <w:sz w:val="24"/>
                <w:szCs w:val="24"/>
              </w:rPr>
              <w:t>Министерства природных ресурсов и экологии Российской Федерации</w:t>
            </w:r>
            <w:r w:rsidRPr="00A81E9C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30.09.2011 № 792 «Об утверждении Порядка ведения государственного кадастра отходов».</w:t>
            </w:r>
          </w:p>
          <w:p w:rsidR="000D1F83" w:rsidRPr="000D1F83" w:rsidRDefault="000D1F83" w:rsidP="000D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E9C">
              <w:rPr>
                <w:rFonts w:ascii="Times New Roman" w:hAnsi="Times New Roman" w:cs="Times New Roman"/>
                <w:b/>
                <w:sz w:val="24"/>
                <w:szCs w:val="24"/>
              </w:rPr>
              <w:t>4. Срок оказания услуг</w:t>
            </w:r>
            <w:bookmarkStart w:id="0" w:name="_GoBack"/>
            <w:bookmarkEnd w:id="0"/>
          </w:p>
        </w:tc>
      </w:tr>
      <w:tr w:rsidR="000D1F83" w:rsidTr="00E85129">
        <w:trPr>
          <w:trHeight w:val="558"/>
        </w:trPr>
        <w:tc>
          <w:tcPr>
            <w:tcW w:w="10225" w:type="dxa"/>
          </w:tcPr>
          <w:p w:rsidR="000D1F83" w:rsidRDefault="000D1F83" w:rsidP="00E85129">
            <w:pPr>
              <w:jc w:val="both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Услуги должны оказываться в срок н</w:t>
            </w:r>
            <w:r w:rsidRPr="00B57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 более 15 рабочих дней с момента заключения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государственного </w:t>
            </w:r>
            <w:r w:rsidRPr="00B57B5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контракта</w:t>
            </w:r>
            <w:r w:rsidR="00E8512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0D1F83" w:rsidTr="00E85129">
        <w:trPr>
          <w:trHeight w:val="272"/>
        </w:trPr>
        <w:tc>
          <w:tcPr>
            <w:tcW w:w="10225" w:type="dxa"/>
          </w:tcPr>
          <w:p w:rsidR="000D1F83" w:rsidRDefault="000D1F83" w:rsidP="000D1F83">
            <w:r w:rsidRPr="00024A7D">
              <w:rPr>
                <w:rFonts w:ascii="Times New Roman" w:hAnsi="Times New Roman" w:cs="Times New Roman"/>
                <w:b/>
                <w:sz w:val="24"/>
                <w:szCs w:val="24"/>
              </w:rPr>
              <w:t>5. Условия и порядок оплаты</w:t>
            </w:r>
          </w:p>
        </w:tc>
      </w:tr>
      <w:tr w:rsidR="000D1F83" w:rsidTr="00D80092">
        <w:trPr>
          <w:trHeight w:val="2648"/>
        </w:trPr>
        <w:tc>
          <w:tcPr>
            <w:tcW w:w="10225" w:type="dxa"/>
          </w:tcPr>
          <w:p w:rsidR="000D1F83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результатов оказанных услуг производится по безналичному расчету на основании счета, счета-фактуры </w:t>
            </w:r>
            <w:r w:rsidRPr="00762A6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(при наличии)</w:t>
            </w:r>
            <w:r w:rsidRPr="00762A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течение 10 рабочих дней с момента подписания обеими сторонами надлежаще оформленного акта о приемке выполненных работ (услуг) или документа о приемке, сформированного в единой информационной системе в сфере закупок в (случае применения электронного документооборота).</w:t>
            </w:r>
          </w:p>
          <w:p w:rsidR="000D1F83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62A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цену включаются все расходы исполнителя, связанные с исполнением обязательств по контракту, в том числе все обязательные платежи, предусмотренные действующим законодательством Российской Федерации.</w:t>
            </w:r>
          </w:p>
          <w:p w:rsidR="000D1F83" w:rsidRDefault="000D1F83" w:rsidP="000D1F8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Авансирование не предусмотрено.</w:t>
            </w:r>
          </w:p>
          <w:p w:rsidR="000D1F83" w:rsidRPr="00024A7D" w:rsidRDefault="000D1F83" w:rsidP="000D1F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321C0" w:rsidRDefault="004321C0" w:rsidP="000D1F83">
      <w:pPr>
        <w:ind w:hanging="284"/>
      </w:pPr>
    </w:p>
    <w:sectPr w:rsidR="004321C0" w:rsidSect="004738E7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2">
    <w:altName w:val="Times New Roman"/>
    <w:charset w:val="CC"/>
    <w:family w:val="auto"/>
    <w:pitch w:val="variable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9B0682"/>
    <w:multiLevelType w:val="hybridMultilevel"/>
    <w:tmpl w:val="467C9064"/>
    <w:lvl w:ilvl="0" w:tplc="9C18D732">
      <w:start w:val="7"/>
      <w:numFmt w:val="decimal"/>
      <w:lvlText w:val="%1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">
    <w:nsid w:val="603B734A"/>
    <w:multiLevelType w:val="hybridMultilevel"/>
    <w:tmpl w:val="D26AE106"/>
    <w:lvl w:ilvl="0" w:tplc="9E8CDE0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83"/>
    <w:rsid w:val="000D1F83"/>
    <w:rsid w:val="003C1CE1"/>
    <w:rsid w:val="004321C0"/>
    <w:rsid w:val="00462946"/>
    <w:rsid w:val="004738E7"/>
    <w:rsid w:val="00A81E9C"/>
    <w:rsid w:val="00D80092"/>
    <w:rsid w:val="00E85129"/>
    <w:rsid w:val="00EA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8A7E0-0F13-450C-81ED-F7E77324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F83"/>
    <w:pPr>
      <w:suppressAutoHyphens/>
    </w:pPr>
    <w:rPr>
      <w:rFonts w:ascii="Calibri" w:eastAsia="SimSun" w:hAnsi="Calibri" w:cs="font29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F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9C0C5-79D7-4D2A-A4F1-7C2949487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Аверьянова Ольга Вячеславовна</cp:lastModifiedBy>
  <cp:revision>3</cp:revision>
  <dcterms:created xsi:type="dcterms:W3CDTF">2021-09-14T12:43:00Z</dcterms:created>
  <dcterms:modified xsi:type="dcterms:W3CDTF">2021-09-14T12:43:00Z</dcterms:modified>
</cp:coreProperties>
</file>