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5B" w:rsidRPr="00B763A2" w:rsidRDefault="00BA135B" w:rsidP="00BA135B">
      <w:pPr>
        <w:jc w:val="both"/>
        <w:rPr>
          <w:sz w:val="24"/>
          <w:szCs w:val="24"/>
        </w:rPr>
      </w:pPr>
      <w:r w:rsidRPr="00B763A2">
        <w:rPr>
          <w:b/>
          <w:bCs/>
          <w:sz w:val="24"/>
          <w:szCs w:val="24"/>
        </w:rPr>
        <w:t>Наименование объекта закупки:</w:t>
      </w:r>
      <w:r w:rsidRPr="00B763A2">
        <w:rPr>
          <w:sz w:val="24"/>
          <w:szCs w:val="24"/>
        </w:rPr>
        <w:t xml:space="preserve"> Поставка технических средств реабилитации – абсорбирующего белья (подгузников) для обеспечения инвалидов в 2021 году.</w:t>
      </w:r>
    </w:p>
    <w:p w:rsidR="00BA135B" w:rsidRDefault="00BA135B" w:rsidP="00BA135B">
      <w:pPr>
        <w:keepNext/>
        <w:keepLines/>
        <w:widowControl w:val="0"/>
        <w:jc w:val="center"/>
        <w:rPr>
          <w:b/>
          <w:sz w:val="24"/>
          <w:szCs w:val="24"/>
        </w:rPr>
      </w:pPr>
    </w:p>
    <w:p w:rsidR="00BA135B" w:rsidRPr="00B763A2" w:rsidRDefault="00BA135B" w:rsidP="00BA135B">
      <w:pPr>
        <w:keepNext/>
        <w:keepLines/>
        <w:widowControl w:val="0"/>
        <w:jc w:val="center"/>
        <w:rPr>
          <w:b/>
          <w:sz w:val="24"/>
          <w:szCs w:val="24"/>
        </w:rPr>
      </w:pPr>
      <w:r w:rsidRPr="00B763A2">
        <w:rPr>
          <w:b/>
          <w:sz w:val="24"/>
          <w:szCs w:val="24"/>
        </w:rPr>
        <w:t>ТРЕБОВАНИЯ К ПОСТАВЛЯЕМЫМ ТОВАРАМ</w:t>
      </w:r>
    </w:p>
    <w:p w:rsidR="00BA135B" w:rsidRPr="00B763A2" w:rsidRDefault="00BA135B" w:rsidP="00BA135B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B763A2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Общие требования:</w:t>
      </w:r>
    </w:p>
    <w:p w:rsidR="00BA135B" w:rsidRPr="00B763A2" w:rsidRDefault="00BA135B" w:rsidP="00BA135B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BA135B" w:rsidRPr="00B763A2" w:rsidTr="00866F57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№</w:t>
            </w:r>
          </w:p>
          <w:p w:rsidR="00BA135B" w:rsidRPr="00B763A2" w:rsidRDefault="00BA135B" w:rsidP="00866F57">
            <w:pPr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BA135B" w:rsidRPr="00B763A2" w:rsidRDefault="00BA135B" w:rsidP="00866F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Наименование товара.</w:t>
            </w:r>
          </w:p>
          <w:p w:rsidR="00BA135B" w:rsidRPr="00B763A2" w:rsidRDefault="00BA135B" w:rsidP="00866F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A135B" w:rsidRPr="00B763A2" w:rsidRDefault="00BA135B" w:rsidP="00866F57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Кол-во, шт.</w:t>
            </w:r>
          </w:p>
        </w:tc>
      </w:tr>
      <w:tr w:rsidR="00BA135B" w:rsidRPr="00B763A2" w:rsidTr="00866F57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BA135B" w:rsidRPr="00B763A2" w:rsidRDefault="00BA135B" w:rsidP="00866F5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3</w:t>
            </w:r>
          </w:p>
        </w:tc>
      </w:tr>
      <w:tr w:rsidR="00BA135B" w:rsidRPr="00B763A2" w:rsidTr="00866F57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BA135B" w:rsidRPr="00B763A2" w:rsidRDefault="00BA135B" w:rsidP="00866F57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B763A2">
              <w:rPr>
                <w:sz w:val="23"/>
                <w:szCs w:val="23"/>
              </w:rPr>
              <w:t xml:space="preserve"> подгузники </w:t>
            </w:r>
            <w:r w:rsidRPr="00B763A2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B763A2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</w:t>
            </w:r>
            <w:bookmarkStart w:id="0" w:name="_GoBack"/>
            <w:bookmarkEnd w:id="0"/>
            <w:r w:rsidRPr="00B763A2">
              <w:rPr>
                <w:sz w:val="23"/>
                <w:szCs w:val="23"/>
              </w:rPr>
              <w:t xml:space="preserve"> древесного происхождения, содержащим </w:t>
            </w:r>
            <w:proofErr w:type="spellStart"/>
            <w:r w:rsidRPr="00B763A2">
              <w:rPr>
                <w:sz w:val="23"/>
                <w:szCs w:val="23"/>
              </w:rPr>
              <w:t>гелеобразующие</w:t>
            </w:r>
            <w:proofErr w:type="spellEnd"/>
            <w:r w:rsidRPr="00B763A2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B763A2">
              <w:rPr>
                <w:sz w:val="23"/>
                <w:szCs w:val="23"/>
              </w:rPr>
              <w:t>суперабсорбенты</w:t>
            </w:r>
            <w:proofErr w:type="spellEnd"/>
            <w:r w:rsidRPr="00B763A2">
              <w:rPr>
                <w:sz w:val="23"/>
                <w:szCs w:val="23"/>
              </w:rPr>
              <w:t>).</w:t>
            </w:r>
          </w:p>
          <w:p w:rsidR="00BA135B" w:rsidRPr="00D86F1F" w:rsidRDefault="00BA135B" w:rsidP="00866F57">
            <w:pPr>
              <w:suppressAutoHyphens w:val="0"/>
              <w:jc w:val="both"/>
              <w:rPr>
                <w:rStyle w:val="a6"/>
                <w:b w:val="0"/>
                <w:color w:val="auto"/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</w:t>
            </w:r>
            <w:r w:rsidRPr="00D86F1F">
              <w:rPr>
                <w:sz w:val="23"/>
                <w:szCs w:val="23"/>
              </w:rPr>
              <w:t xml:space="preserve">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D86F1F">
                <w:rPr>
                  <w:rStyle w:val="a5"/>
                  <w:color w:val="auto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D86F1F">
              <w:rPr>
                <w:rStyle w:val="a5"/>
                <w:color w:val="auto"/>
                <w:sz w:val="23"/>
                <w:szCs w:val="23"/>
              </w:rPr>
              <w:t>а</w:t>
            </w:r>
            <w:proofErr w:type="spellEnd"/>
            <w:r w:rsidRPr="00D86F1F">
              <w:rPr>
                <w:rStyle w:val="a5"/>
                <w:color w:val="auto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D86F1F">
              <w:rPr>
                <w:rStyle w:val="a5"/>
                <w:color w:val="auto"/>
                <w:sz w:val="23"/>
                <w:szCs w:val="23"/>
              </w:rPr>
              <w:t>Суперабсорбент</w:t>
            </w:r>
            <w:proofErr w:type="spellEnd"/>
            <w:r w:rsidRPr="00D86F1F">
              <w:rPr>
                <w:rStyle w:val="a5"/>
                <w:color w:val="auto"/>
                <w:sz w:val="23"/>
                <w:szCs w:val="23"/>
              </w:rPr>
              <w:t xml:space="preserve"> представлен</w:t>
            </w:r>
            <w:r w:rsidRPr="00D86F1F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BA135B" w:rsidRPr="00D86F1F" w:rsidRDefault="00BA135B" w:rsidP="00866F57">
            <w:pPr>
              <w:suppressAutoHyphens w:val="0"/>
              <w:jc w:val="both"/>
              <w:rPr>
                <w:sz w:val="23"/>
                <w:szCs w:val="23"/>
              </w:rPr>
            </w:pPr>
            <w:r w:rsidRPr="00D86F1F">
              <w:rPr>
                <w:rStyle w:val="a6"/>
                <w:color w:val="auto"/>
                <w:sz w:val="23"/>
                <w:szCs w:val="23"/>
              </w:rPr>
              <w:t>Барьерные элементы должны быть представлены б</w:t>
            </w:r>
            <w:r w:rsidRPr="00D86F1F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BA135B" w:rsidRPr="00B763A2" w:rsidRDefault="00BA135B" w:rsidP="00866F57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>Подгузник должен иметь:</w:t>
            </w:r>
          </w:p>
          <w:p w:rsidR="00BA135B" w:rsidRPr="00B763A2" w:rsidRDefault="00BA135B" w:rsidP="00866F57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BA135B" w:rsidRPr="00B763A2" w:rsidRDefault="00BA135B" w:rsidP="00866F57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B763A2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BA135B" w:rsidRPr="00B763A2" w:rsidRDefault="00BA135B" w:rsidP="00866F57">
            <w:pPr>
              <w:suppressAutoHyphens w:val="0"/>
              <w:jc w:val="both"/>
              <w:rPr>
                <w:sz w:val="23"/>
                <w:szCs w:val="23"/>
              </w:rPr>
            </w:pPr>
            <w:r w:rsidRPr="00B763A2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BA135B" w:rsidRPr="00B763A2" w:rsidRDefault="00BA135B" w:rsidP="00866F57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B763A2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763A2">
              <w:rPr>
                <w:sz w:val="23"/>
                <w:szCs w:val="23"/>
              </w:rPr>
              <w:t>выщипывания</w:t>
            </w:r>
            <w:proofErr w:type="spellEnd"/>
            <w:r w:rsidRPr="00B763A2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B763A2">
              <w:rPr>
                <w:sz w:val="23"/>
                <w:szCs w:val="23"/>
              </w:rPr>
              <w:t>отмарывание</w:t>
            </w:r>
            <w:proofErr w:type="spellEnd"/>
            <w:r w:rsidRPr="00B763A2">
              <w:rPr>
                <w:sz w:val="23"/>
                <w:szCs w:val="23"/>
              </w:rPr>
              <w:t xml:space="preserve"> краски.</w:t>
            </w:r>
          </w:p>
          <w:p w:rsidR="00BA135B" w:rsidRPr="00B763A2" w:rsidRDefault="00BA135B" w:rsidP="00866F57">
            <w:pPr>
              <w:jc w:val="both"/>
              <w:rPr>
                <w:sz w:val="22"/>
                <w:szCs w:val="22"/>
              </w:rPr>
            </w:pPr>
            <w:r w:rsidRPr="00B763A2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</w:p>
        </w:tc>
      </w:tr>
      <w:tr w:rsidR="00BA135B" w:rsidRPr="00B763A2" w:rsidTr="00866F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  <w:p w:rsidR="00BA135B" w:rsidRPr="00B763A2" w:rsidRDefault="00BA135B" w:rsidP="00866F57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56 200</w:t>
            </w:r>
          </w:p>
        </w:tc>
      </w:tr>
      <w:tr w:rsidR="00BA135B" w:rsidRPr="00B763A2" w:rsidTr="00866F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22-09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BA135B" w:rsidRPr="00B763A2" w:rsidRDefault="00BA135B" w:rsidP="00866F57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172 200</w:t>
            </w:r>
          </w:p>
        </w:tc>
      </w:tr>
      <w:tr w:rsidR="00BA135B" w:rsidRPr="00B763A2" w:rsidTr="00866F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BA135B" w:rsidRPr="00B763A2" w:rsidRDefault="00BA135B" w:rsidP="00866F57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КОЗ-01.28.22.01.11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199 100</w:t>
            </w:r>
          </w:p>
        </w:tc>
      </w:tr>
      <w:tr w:rsidR="00BA135B" w:rsidRPr="00B763A2" w:rsidTr="00866F5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65" w:type="dxa"/>
            <w:shd w:val="clear" w:color="auto" w:fill="auto"/>
          </w:tcPr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B763A2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BA135B" w:rsidRPr="00B763A2" w:rsidRDefault="00BA135B" w:rsidP="00866F57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BA135B" w:rsidRPr="00B763A2" w:rsidRDefault="00BA135B" w:rsidP="00866F57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A135B" w:rsidRPr="00B763A2" w:rsidRDefault="00BA135B" w:rsidP="0086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42 500</w:t>
            </w:r>
          </w:p>
        </w:tc>
      </w:tr>
      <w:tr w:rsidR="00BA135B" w:rsidRPr="00B763A2" w:rsidTr="00866F57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BA135B" w:rsidRPr="00B763A2" w:rsidRDefault="00BA135B" w:rsidP="00866F57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BA135B" w:rsidRPr="00B763A2" w:rsidRDefault="00BA135B" w:rsidP="00866F57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  <w:r w:rsidRPr="00B763A2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BA135B" w:rsidRPr="00B763A2" w:rsidRDefault="00BA135B" w:rsidP="00BA135B">
      <w:pPr>
        <w:jc w:val="both"/>
        <w:rPr>
          <w:sz w:val="22"/>
          <w:szCs w:val="22"/>
        </w:rPr>
      </w:pPr>
      <w:r w:rsidRPr="00B763A2">
        <w:rPr>
          <w:b/>
          <w:sz w:val="20"/>
          <w:szCs w:val="20"/>
        </w:rPr>
        <w:t xml:space="preserve">            </w:t>
      </w:r>
      <w:r w:rsidRPr="00B763A2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BA135B" w:rsidRPr="00B763A2" w:rsidRDefault="00BA135B" w:rsidP="00BA135B">
      <w:pPr>
        <w:ind w:firstLine="709"/>
        <w:jc w:val="both"/>
        <w:rPr>
          <w:b/>
          <w:sz w:val="22"/>
          <w:szCs w:val="22"/>
        </w:rPr>
      </w:pPr>
      <w:r w:rsidRPr="00B763A2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B763A2">
        <w:rPr>
          <w:sz w:val="22"/>
          <w:szCs w:val="22"/>
        </w:rPr>
        <w:t>абилитации</w:t>
      </w:r>
      <w:proofErr w:type="spellEnd"/>
      <w:r w:rsidRPr="00B763A2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BA135B" w:rsidRPr="00B763A2" w:rsidRDefault="00BA135B" w:rsidP="00BA135B">
      <w:pPr>
        <w:ind w:firstLine="709"/>
        <w:jc w:val="center"/>
        <w:rPr>
          <w:sz w:val="22"/>
          <w:szCs w:val="22"/>
          <w:lang w:eastAsia="ru-RU"/>
        </w:rPr>
      </w:pPr>
      <w:r w:rsidRPr="00B763A2">
        <w:rPr>
          <w:b/>
          <w:sz w:val="22"/>
          <w:szCs w:val="22"/>
        </w:rPr>
        <w:t>Требования к маркировке и упаковке.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B763A2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наименование страны-изготовителя;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номер артикула (при наличии);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количество подгузников в упаковке;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дату (месяц, год) изготовления;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обозначение стандарта;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>- штриховой код (при наличии).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B763A2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B763A2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763A2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B763A2">
          <w:rPr>
            <w:sz w:val="22"/>
            <w:szCs w:val="22"/>
            <w:u w:val="single"/>
            <w:lang w:eastAsia="ru-RU"/>
          </w:rPr>
          <w:t>ГОСТ 6658</w:t>
        </w:r>
      </w:hyperlink>
      <w:r w:rsidRPr="00B763A2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B763A2">
          <w:rPr>
            <w:sz w:val="22"/>
            <w:szCs w:val="22"/>
            <w:u w:val="single"/>
            <w:lang w:eastAsia="ru-RU"/>
          </w:rPr>
          <w:t>ГОСТ 15150</w:t>
        </w:r>
      </w:hyperlink>
      <w:r w:rsidRPr="00B763A2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B763A2">
          <w:rPr>
            <w:sz w:val="22"/>
            <w:szCs w:val="22"/>
            <w:u w:val="single"/>
            <w:lang w:eastAsia="ru-RU"/>
          </w:rPr>
          <w:t>ГОСТ 15150</w:t>
        </w:r>
      </w:hyperlink>
      <w:r w:rsidRPr="00B763A2">
        <w:rPr>
          <w:sz w:val="22"/>
          <w:szCs w:val="22"/>
          <w:lang w:eastAsia="ru-RU"/>
        </w:rPr>
        <w:t>.</w:t>
      </w:r>
    </w:p>
    <w:p w:rsidR="00BA135B" w:rsidRPr="00B763A2" w:rsidRDefault="00BA135B" w:rsidP="00BA135B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BA135B" w:rsidRPr="00B763A2" w:rsidRDefault="00BA135B" w:rsidP="00BA135B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BA135B" w:rsidRPr="00B763A2" w:rsidRDefault="00BA135B" w:rsidP="00BA135B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BA135B" w:rsidRPr="00B763A2" w:rsidRDefault="00BA135B" w:rsidP="00BA135B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BA135B" w:rsidRPr="00B763A2" w:rsidRDefault="00BA135B" w:rsidP="00BA135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763A2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BA135B" w:rsidRPr="00B763A2" w:rsidRDefault="00BA135B" w:rsidP="00BA135B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B763A2">
        <w:rPr>
          <w:b/>
          <w:sz w:val="22"/>
          <w:szCs w:val="22"/>
        </w:rPr>
        <w:t>Дополнительные условия.</w:t>
      </w:r>
    </w:p>
    <w:p w:rsidR="00BA135B" w:rsidRPr="00B763A2" w:rsidRDefault="00BA135B" w:rsidP="00BA135B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B763A2">
        <w:rPr>
          <w:sz w:val="22"/>
          <w:szCs w:val="22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</w:t>
      </w:r>
      <w:r w:rsidRPr="00B763A2">
        <w:rPr>
          <w:sz w:val="22"/>
          <w:szCs w:val="22"/>
        </w:rPr>
        <w:lastRenderedPageBreak/>
        <w:t>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BA135B" w:rsidRPr="00B763A2" w:rsidRDefault="00BA135B" w:rsidP="00BA135B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B763A2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BA135B" w:rsidRPr="00B763A2" w:rsidRDefault="00BA135B" w:rsidP="00BA135B">
      <w:pPr>
        <w:ind w:left="-720"/>
        <w:jc w:val="both"/>
        <w:rPr>
          <w:b/>
          <w:sz w:val="22"/>
          <w:szCs w:val="22"/>
        </w:rPr>
      </w:pPr>
    </w:p>
    <w:p w:rsidR="00BA135B" w:rsidRPr="00B763A2" w:rsidRDefault="00BA135B" w:rsidP="00BA135B">
      <w:pPr>
        <w:jc w:val="both"/>
        <w:rPr>
          <w:sz w:val="22"/>
          <w:szCs w:val="22"/>
        </w:rPr>
      </w:pPr>
      <w:r w:rsidRPr="00B763A2">
        <w:rPr>
          <w:b/>
          <w:bCs/>
          <w:sz w:val="22"/>
          <w:szCs w:val="22"/>
        </w:rPr>
        <w:t>Место поставки товара:</w:t>
      </w:r>
      <w:r w:rsidRPr="00B763A2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B763A2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B763A2">
        <w:rPr>
          <w:sz w:val="22"/>
          <w:szCs w:val="22"/>
          <w:lang w:val="en-US"/>
        </w:rPr>
        <w:t>DDP</w:t>
      </w:r>
      <w:r w:rsidRPr="00B763A2">
        <w:rPr>
          <w:sz w:val="22"/>
          <w:szCs w:val="22"/>
        </w:rPr>
        <w:t xml:space="preserve"> или в пунктах выдачи по согласованию с получателем </w:t>
      </w:r>
    </w:p>
    <w:p w:rsidR="00BA135B" w:rsidRPr="00B763A2" w:rsidRDefault="00BA135B" w:rsidP="00BA135B">
      <w:pPr>
        <w:jc w:val="both"/>
        <w:rPr>
          <w:rFonts w:eastAsia="Lucida Sans Unicode"/>
          <w:sz w:val="22"/>
          <w:szCs w:val="22"/>
          <w:lang w:bidi="en-US"/>
        </w:rPr>
      </w:pPr>
      <w:r w:rsidRPr="00B763A2">
        <w:rPr>
          <w:b/>
          <w:sz w:val="22"/>
          <w:szCs w:val="22"/>
          <w:lang w:eastAsia="ru-RU"/>
        </w:rPr>
        <w:t>Срок</w:t>
      </w:r>
      <w:r w:rsidRPr="00B763A2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B763A2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подписания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BA135B" w:rsidRPr="00B763A2" w:rsidRDefault="00BA135B" w:rsidP="00BA135B">
      <w:pPr>
        <w:jc w:val="both"/>
        <w:rPr>
          <w:b/>
          <w:lang w:eastAsia="ru-RU"/>
        </w:rPr>
      </w:pPr>
      <w:r w:rsidRPr="00B763A2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B763A2">
        <w:rPr>
          <w:rFonts w:eastAsia="Lucida Sans Unicode"/>
          <w:sz w:val="24"/>
          <w:szCs w:val="24"/>
          <w:lang w:bidi="en-US"/>
        </w:rPr>
        <w:t>.</w:t>
      </w:r>
    </w:p>
    <w:p w:rsidR="00BA135B" w:rsidRPr="00B763A2" w:rsidRDefault="00BA135B" w:rsidP="00BA135B"/>
    <w:p w:rsidR="0077091D" w:rsidRDefault="0077091D"/>
    <w:sectPr w:rsidR="0077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B"/>
    <w:rsid w:val="0077091D"/>
    <w:rsid w:val="00BA135B"/>
    <w:rsid w:val="00D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B0CD-D5B1-4760-BE3F-046AA611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BA135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A135B"/>
    <w:rPr>
      <w:color w:val="008000"/>
    </w:rPr>
  </w:style>
  <w:style w:type="character" w:customStyle="1" w:styleId="a6">
    <w:name w:val="Цветовое выделение"/>
    <w:uiPriority w:val="99"/>
    <w:rsid w:val="00BA135B"/>
    <w:rPr>
      <w:b/>
      <w:color w:val="000080"/>
    </w:rPr>
  </w:style>
  <w:style w:type="paragraph" w:customStyle="1" w:styleId="Standard">
    <w:name w:val="Standard"/>
    <w:rsid w:val="00BA13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BA1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2</cp:revision>
  <dcterms:created xsi:type="dcterms:W3CDTF">2021-08-30T12:06:00Z</dcterms:created>
  <dcterms:modified xsi:type="dcterms:W3CDTF">2021-08-30T12:07:00Z</dcterms:modified>
</cp:coreProperties>
</file>