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F50AC4" w:rsidRDefault="00F50AC4" w:rsidP="00F50AC4">
      <w:pPr>
        <w:jc w:val="both"/>
        <w:rPr>
          <w:rFonts w:ascii="Times New Roman" w:hAnsi="Times New Roman" w:cs="Times New Roman"/>
        </w:rPr>
      </w:pPr>
      <w:r w:rsidRPr="00F50AC4">
        <w:rPr>
          <w:rFonts w:ascii="Times New Roman" w:hAnsi="Times New Roman" w:cs="Times New Roman"/>
          <w:b/>
        </w:rPr>
        <w:t>Техническое задание:</w:t>
      </w:r>
      <w:r w:rsidRPr="00F50AC4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</w:t>
      </w:r>
      <w:r w:rsidRPr="00F50AC4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Поставка технических средств реабилитации </w:t>
      </w:r>
      <w:r w:rsidRPr="00F50AC4">
        <w:rPr>
          <w:rFonts w:ascii="Times New Roman" w:hAnsi="Times New Roman" w:cs="Times New Roman"/>
        </w:rPr>
        <w:t xml:space="preserve">ремешков для крепления мочеприемников, катетеров, </w:t>
      </w:r>
      <w:proofErr w:type="spellStart"/>
      <w:r w:rsidRPr="00F50AC4">
        <w:rPr>
          <w:rFonts w:ascii="Times New Roman" w:hAnsi="Times New Roman" w:cs="Times New Roman"/>
        </w:rPr>
        <w:t>уропрезервативов</w:t>
      </w:r>
      <w:proofErr w:type="spellEnd"/>
      <w:r w:rsidRPr="00F50AC4">
        <w:rPr>
          <w:rFonts w:ascii="Times New Roman" w:hAnsi="Times New Roman" w:cs="Times New Roman"/>
        </w:rPr>
        <w:t xml:space="preserve"> для обеспечения ими в 2021 году инвалидов</w:t>
      </w:r>
    </w:p>
    <w:tbl>
      <w:tblPr>
        <w:tblW w:w="10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64"/>
        <w:gridCol w:w="4735"/>
        <w:gridCol w:w="1417"/>
        <w:gridCol w:w="1171"/>
      </w:tblGrid>
      <w:tr w:rsidR="00F50AC4" w:rsidRPr="00A26C03" w:rsidTr="00F50AC4">
        <w:trPr>
          <w:trHeight w:val="738"/>
        </w:trPr>
        <w:tc>
          <w:tcPr>
            <w:tcW w:w="810" w:type="dxa"/>
            <w:vMerge w:val="restart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64" w:type="dxa"/>
            <w:vMerge w:val="restart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4735" w:type="dxa"/>
            <w:vMerge w:val="restart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товару</w:t>
            </w:r>
          </w:p>
        </w:tc>
      </w:tr>
      <w:tr w:rsidR="00F50AC4" w:rsidRPr="00A26C03" w:rsidTr="00F50AC4">
        <w:trPr>
          <w:trHeight w:val="250"/>
        </w:trPr>
        <w:tc>
          <w:tcPr>
            <w:tcW w:w="810" w:type="dxa"/>
            <w:vMerge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vMerge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F50AC4" w:rsidRPr="00A26C03" w:rsidTr="00F50AC4">
        <w:trPr>
          <w:trHeight w:val="2126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Катетеры уретральные для однократного дренирования, катетеры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– 18 мужские, женские и детские. Должны быть изготовлены из поливинилхлорида, покрытого снаружи гидрофильным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лубрикатом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прямым цилиндрическим или изогнутым наконечником; с двумя боковыми отверстиями. Катетеры стерильные и находятся в индивидуальной упаковке).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42,71</w:t>
            </w:r>
          </w:p>
        </w:tc>
      </w:tr>
      <w:tr w:rsidR="00F50AC4" w:rsidRPr="00A26C03" w:rsidTr="00F50AC4">
        <w:trPr>
          <w:trHeight w:val="1418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A26C03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дренажа/промывания</w:t>
            </w:r>
            <w:r w:rsidRPr="00A26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C03">
              <w:rPr>
                <w:rFonts w:ascii="Times New Roman" w:hAnsi="Times New Roman" w:cs="Times New Roman"/>
                <w:sz w:val="20"/>
                <w:szCs w:val="20"/>
              </w:rPr>
              <w:t>(катетер уретральный длительного пользования согласно Приказу Министерства труда и социальной защиты РФ от 13 февраля 2018 г. № 86н)</w:t>
            </w:r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уретральный длительного пользования. Должен быть для длительной катетеризации мочевого пузыря, из латекса с силиконовым покрытием, стерильным, одноразовым. Катетеры различных типов размеров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6-30. Катетер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должетн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быть стерилен и должен находиться в индивидуальной упаковке.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52,15</w:t>
            </w:r>
          </w:p>
        </w:tc>
      </w:tr>
      <w:tr w:rsidR="00F50AC4" w:rsidRPr="00A26C03" w:rsidTr="00F50AC4">
        <w:trPr>
          <w:trHeight w:val="1418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A26C03">
              <w:rPr>
                <w:rFonts w:cs="Times New Roman"/>
                <w:sz w:val="20"/>
                <w:szCs w:val="20"/>
              </w:rPr>
              <w:t xml:space="preserve">Наименование по КТРУ: </w:t>
            </w:r>
          </w:p>
          <w:p w:rsidR="00F50AC4" w:rsidRPr="00A26C03" w:rsidRDefault="00F50AC4" w:rsidP="0082555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A26C03">
              <w:rPr>
                <w:rFonts w:cs="Times New Roman"/>
                <w:sz w:val="20"/>
                <w:szCs w:val="20"/>
              </w:rPr>
              <w:t>Катетер уретральный постоянный для дренажа</w:t>
            </w:r>
          </w:p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hAnsi="Times New Roman" w:cs="Times New Roman"/>
                <w:sz w:val="20"/>
                <w:szCs w:val="20"/>
              </w:rPr>
              <w:t>(катетер уретральный постоянного пользования согласно Приказу Министерства труда и социальной защиты РФ от 13 февраля 2018 г. № 86н)</w:t>
            </w:r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уретральный постоянного пользования. Должен быть для длительной катетеризации мочевого пузыря, из латекса с силиконовым покрытием, стерильным, одноразовым. Катетеры различных типов размеров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6-30. Катетер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должетн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быть стерилен и должен находиться в индивидуальной упаковке.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47,02</w:t>
            </w:r>
          </w:p>
        </w:tc>
      </w:tr>
      <w:tr w:rsidR="00F50AC4" w:rsidRPr="00A26C03" w:rsidTr="00F50AC4">
        <w:trPr>
          <w:trHeight w:val="1654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Катетер для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быть из латекса, силикона, должен иметь плавные переходы в местах соединения, должен соединяться с любым видом мочеприемника. Катетеры различных типов размеров. Катетер должен быть стерилен и должен находиться в индивидуальной упаковке.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41,33</w:t>
            </w:r>
          </w:p>
        </w:tc>
      </w:tr>
      <w:tr w:rsidR="00F50AC4" w:rsidRPr="00A26C03" w:rsidTr="00F50AC4">
        <w:trPr>
          <w:trHeight w:val="2126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пластырем</w:t>
            </w:r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пластырем должен быть с двухсторонним гидроколлоидным пластырем, обладающим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градусов, различных размеров в диапазоне от 20 мм до 40 </w:t>
            </w:r>
            <w:proofErr w:type="gram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 .</w:t>
            </w:r>
            <w:proofErr w:type="gram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зависимости от потребностей Получателей)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F50AC4" w:rsidRPr="00A26C03" w:rsidTr="00F50AC4">
        <w:trPr>
          <w:trHeight w:val="841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самоклеящийся</w:t>
            </w:r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самоклеящийся должен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обладають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Уропрезервативы</w:t>
            </w:r>
            <w:proofErr w:type="spell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самоклеящиеся </w:t>
            </w: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размеров в диапазоне от 20 мм до 40 мм (в зависимос</w:t>
            </w:r>
            <w:bookmarkStart w:id="0" w:name="_GoBack"/>
            <w:bookmarkEnd w:id="0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от потребностей Получателей)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9960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F50AC4" w:rsidRPr="00A26C03" w:rsidTr="00F50AC4">
        <w:trPr>
          <w:trHeight w:val="1151"/>
        </w:trPr>
        <w:tc>
          <w:tcPr>
            <w:tcW w:w="810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 </w:t>
            </w:r>
            <w:proofErr w:type="spellStart"/>
            <w:proofErr w:type="gramStart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КТРУ:Пара</w:t>
            </w:r>
            <w:proofErr w:type="spellEnd"/>
            <w:proofErr w:type="gramEnd"/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ремешков для крепления мочеприемников (мешков для сбора мочи) к ноге</w:t>
            </w:r>
          </w:p>
        </w:tc>
        <w:tc>
          <w:tcPr>
            <w:tcW w:w="4735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ремешков для крепления мочеприемников (мешков для сбора мочи) к ноге. Должны быть длиной не менее 55 см, регулироваться по длине, 2 шт. (пара).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81,89</w:t>
            </w:r>
          </w:p>
        </w:tc>
      </w:tr>
      <w:tr w:rsidR="00F50AC4" w:rsidRPr="00A26C03" w:rsidTr="00F50AC4">
        <w:trPr>
          <w:trHeight w:val="235"/>
        </w:trPr>
        <w:tc>
          <w:tcPr>
            <w:tcW w:w="8109" w:type="dxa"/>
            <w:gridSpan w:val="3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129 910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F50AC4" w:rsidRPr="00A26C03" w:rsidRDefault="00F50AC4" w:rsidP="00825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AC4">
        <w:rPr>
          <w:rFonts w:ascii="Times New Roman" w:hAnsi="Times New Roman" w:cs="Times New Roman"/>
        </w:rPr>
        <w:t xml:space="preserve">Ремешки для крепления мочеприемников, катетеры, </w:t>
      </w:r>
      <w:proofErr w:type="spellStart"/>
      <w:r w:rsidRPr="00F50AC4">
        <w:rPr>
          <w:rFonts w:ascii="Times New Roman" w:hAnsi="Times New Roman" w:cs="Times New Roman"/>
        </w:rPr>
        <w:t>уропрезервативы</w:t>
      </w:r>
      <w:proofErr w:type="spellEnd"/>
      <w:r w:rsidRPr="00F50AC4">
        <w:rPr>
          <w:rFonts w:ascii="Times New Roman" w:hAnsi="Times New Roman" w:cs="Times New Roman"/>
        </w:rPr>
        <w:t xml:space="preserve"> </w:t>
      </w:r>
      <w:r w:rsidRPr="00F50AC4">
        <w:rPr>
          <w:rFonts w:ascii="Times New Roman" w:eastAsia="Times New Roman" w:hAnsi="Times New Roman" w:cs="Times New Roman"/>
          <w:lang w:eastAsia="ru-RU"/>
        </w:rPr>
        <w:t>(</w:t>
      </w:r>
      <w:r w:rsidRPr="00F50AC4">
        <w:rPr>
          <w:rFonts w:ascii="Times New Roman" w:hAnsi="Times New Roman" w:cs="Times New Roman"/>
        </w:rPr>
        <w:t>далее-с</w:t>
      </w:r>
      <w:r w:rsidRPr="00F50AC4">
        <w:rPr>
          <w:rFonts w:ascii="Times New Roman" w:eastAsia="Times New Roman" w:hAnsi="Times New Roman" w:cs="Times New Roman"/>
          <w:lang w:eastAsia="ru-RU"/>
        </w:rPr>
        <w:t>пециальные средства при нарушении функций выделения)</w:t>
      </w:r>
      <w:r w:rsidRPr="00F50AC4">
        <w:rPr>
          <w:rFonts w:ascii="Times New Roman" w:hAnsi="Times New Roman" w:cs="Times New Roman"/>
        </w:rPr>
        <w:t>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AC4">
        <w:rPr>
          <w:rFonts w:ascii="Times New Roman" w:eastAsia="Times New Roman" w:hAnsi="Times New Roman" w:cs="Times New Roman"/>
          <w:b/>
          <w:bCs/>
          <w:lang w:eastAsia="ru-RU"/>
        </w:rPr>
        <w:t>Требования к качеству товара.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r w:rsidRPr="00F50AC4">
        <w:rPr>
          <w:rFonts w:ascii="Times New Roman" w:hAnsi="Times New Roman" w:cs="Times New Roman"/>
        </w:rPr>
        <w:t xml:space="preserve"> 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AC4">
        <w:rPr>
          <w:rFonts w:ascii="Times New Roman" w:eastAsia="Times New Roman" w:hAnsi="Times New Roman" w:cs="Times New Roman"/>
          <w:b/>
          <w:bCs/>
          <w:lang w:eastAsia="ru-RU"/>
        </w:rPr>
        <w:t>Требования к безопасности товара.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AC4">
        <w:rPr>
          <w:rFonts w:ascii="Times New Roman" w:eastAsia="Times New Roman" w:hAnsi="Times New Roman" w:cs="Times New Roman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серии </w:t>
      </w:r>
      <w:r w:rsidRPr="00F50AC4">
        <w:rPr>
          <w:rFonts w:ascii="Times New Roman" w:hAnsi="Times New Roman" w:cs="Times New Roman"/>
          <w:spacing w:val="-1"/>
        </w:rPr>
        <w:t>ГОСТ ИСО 10993-1-2011</w:t>
      </w:r>
      <w:r w:rsidRPr="00F50AC4">
        <w:rPr>
          <w:rFonts w:ascii="Times New Roman" w:hAnsi="Times New Roman" w:cs="Times New Roman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F50A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0AC4">
        <w:rPr>
          <w:rFonts w:ascii="Times New Roman" w:hAnsi="Times New Roman" w:cs="Times New Roman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50AC4">
        <w:rPr>
          <w:rFonts w:ascii="Times New Roman" w:hAnsi="Times New Roman" w:cs="Times New Roman"/>
        </w:rPr>
        <w:t>цитотоксичность</w:t>
      </w:r>
      <w:proofErr w:type="spellEnd"/>
      <w:r w:rsidRPr="00F50AC4">
        <w:rPr>
          <w:rFonts w:ascii="Times New Roman" w:hAnsi="Times New Roman" w:cs="Times New Roman"/>
        </w:rPr>
        <w:t xml:space="preserve">: методы </w:t>
      </w:r>
      <w:proofErr w:type="spellStart"/>
      <w:r w:rsidRPr="00F50AC4">
        <w:rPr>
          <w:rFonts w:ascii="Times New Roman" w:hAnsi="Times New Roman" w:cs="Times New Roman"/>
        </w:rPr>
        <w:t>in</w:t>
      </w:r>
      <w:proofErr w:type="spellEnd"/>
      <w:r w:rsidRPr="00F50AC4">
        <w:rPr>
          <w:rFonts w:ascii="Times New Roman" w:hAnsi="Times New Roman" w:cs="Times New Roman"/>
        </w:rPr>
        <w:t xml:space="preserve"> </w:t>
      </w:r>
      <w:proofErr w:type="spellStart"/>
      <w:r w:rsidRPr="00F50AC4">
        <w:rPr>
          <w:rFonts w:ascii="Times New Roman" w:hAnsi="Times New Roman" w:cs="Times New Roman"/>
        </w:rPr>
        <w:t>vitro</w:t>
      </w:r>
      <w:proofErr w:type="spellEnd"/>
      <w:r w:rsidRPr="00F50AC4">
        <w:rPr>
          <w:rFonts w:ascii="Times New Roman" w:hAnsi="Times New Roman" w:cs="Times New Roman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ГОСТР 58235-2018 «Специальные средства при нарушении функции выделения». Термины и определения. Классификация.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50AC4" w:rsidRPr="00F50AC4" w:rsidRDefault="00F50AC4" w:rsidP="00F50AC4">
      <w:pPr>
        <w:keepLines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AC4">
        <w:rPr>
          <w:rFonts w:ascii="Times New Roman" w:hAnsi="Times New Roman" w:cs="Times New Roman"/>
        </w:rPr>
        <w:t>Маркировка упаковки специальных средств при нарушениях функций выделения должна включать: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страну-изготовителя;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номер артикула (при наличии);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количество изделий в упаковке;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дату (месяц, год) изготовления и срок годности;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правила использования (при необходимости);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>- штриховой код изделия (при наличии).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hAnsi="Times New Roman" w:cs="Times New Roman"/>
          <w:b/>
        </w:rPr>
        <w:t>Сроки гарантии</w:t>
      </w:r>
      <w:r w:rsidRPr="00F50AC4">
        <w:rPr>
          <w:rFonts w:ascii="Times New Roman" w:hAnsi="Times New Roman" w:cs="Times New Roman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0A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0AC4">
        <w:rPr>
          <w:rFonts w:ascii="Times New Roman" w:eastAsia="Times New Roman" w:hAnsi="Times New Roman" w:cs="Times New Roman"/>
          <w:b/>
          <w:lang w:eastAsia="ru-RU"/>
        </w:rPr>
        <w:t>Срок годности</w:t>
      </w:r>
      <w:r w:rsidRPr="00F50AC4">
        <w:rPr>
          <w:rFonts w:ascii="Times New Roman" w:eastAsia="Times New Roman" w:hAnsi="Times New Roman" w:cs="Times New Roman"/>
          <w:lang w:eastAsia="ru-RU"/>
        </w:rPr>
        <w:t xml:space="preserve"> специальных средств при нарушениях функций выделения на момент выдачи изделий должен быть не менее 1 года.</w:t>
      </w:r>
    </w:p>
    <w:p w:rsidR="00F50AC4" w:rsidRPr="00F50AC4" w:rsidRDefault="00F50AC4" w:rsidP="00F50AC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0AC4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поставки: </w:t>
      </w:r>
      <w:r w:rsidRPr="00F50AC4">
        <w:rPr>
          <w:rFonts w:ascii="Times New Roman" w:hAnsi="Times New Roman" w:cs="Times New Roman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F50AC4">
        <w:rPr>
          <w:rStyle w:val="a4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F50AC4">
        <w:rPr>
          <w:rFonts w:ascii="Times New Roman" w:hAnsi="Times New Roman" w:cs="Times New Roman"/>
          <w:sz w:val="22"/>
          <w:szCs w:val="22"/>
        </w:rPr>
        <w:t>службой доставки (почтовым отправлением)</w:t>
      </w:r>
      <w:r w:rsidRPr="00F50AC4">
        <w:rPr>
          <w:rStyle w:val="a4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>, в пунктах выдачи).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F50AC4">
        <w:rPr>
          <w:rFonts w:ascii="Times New Roman" w:hAnsi="Times New Roman" w:cs="Times New Roman"/>
          <w:b/>
        </w:rPr>
        <w:t>Срок поставки</w:t>
      </w:r>
      <w:r w:rsidRPr="00F50AC4">
        <w:rPr>
          <w:rFonts w:ascii="Times New Roman" w:hAnsi="Times New Roman" w:cs="Times New Roman"/>
        </w:rPr>
        <w:t xml:space="preserve">: </w:t>
      </w:r>
      <w:r w:rsidRPr="00F50AC4">
        <w:rPr>
          <w:rFonts w:ascii="Times New Roman" w:hAnsi="Times New Roman" w:cs="Times New Roman"/>
          <w:spacing w:val="-1"/>
        </w:rPr>
        <w:t>до «15» ноября 2021 года.</w:t>
      </w:r>
    </w:p>
    <w:p w:rsidR="00F50AC4" w:rsidRPr="00F50AC4" w:rsidRDefault="00F50AC4" w:rsidP="00F50AC4">
      <w:pPr>
        <w:spacing w:after="0" w:line="240" w:lineRule="auto"/>
        <w:ind w:firstLine="709"/>
        <w:jc w:val="both"/>
        <w:rPr>
          <w:rStyle w:val="a4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</w:pPr>
      <w:r w:rsidRPr="00F50AC4">
        <w:rPr>
          <w:rStyle w:val="a4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50AC4" w:rsidRDefault="00F50AC4"/>
    <w:sectPr w:rsidR="00F50AC4" w:rsidSect="00F50A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4"/>
    <w:rsid w:val="000D263C"/>
    <w:rsid w:val="00260CCD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50AC4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F442-BBC0-43F9-BCB9-A7C82F5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0A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4">
    <w:name w:val="Hyperlink"/>
    <w:rsid w:val="00F50AC4"/>
    <w:rPr>
      <w:color w:val="0000FF"/>
      <w:u w:val="single"/>
    </w:rPr>
  </w:style>
  <w:style w:type="paragraph" w:customStyle="1" w:styleId="ConsPlusNormal">
    <w:name w:val="ConsPlusNormal"/>
    <w:rsid w:val="00F50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2021-09-02T05:47:00Z</dcterms:created>
  <dcterms:modified xsi:type="dcterms:W3CDTF">2021-09-02T05:59:00Z</dcterms:modified>
</cp:coreProperties>
</file>