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 xml:space="preserve">: </w:t>
      </w:r>
      <w:r w:rsidR="00F262D2" w:rsidRPr="00F262D2">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r w:rsidR="00E46D81" w:rsidRPr="00F262D2">
        <w:t>.</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62D2" w:rsidRPr="00F262D2">
        <w:t xml:space="preserve">Выдать готовое изделие, соответствующее техническому заданию контракта непосредственно Получателю на основании направления. Последняя выдача Изделий Получателям в рамках государственного контракта должна быть осуществлена не позднее 30 </w:t>
      </w:r>
      <w:r w:rsidR="00D24AA5">
        <w:t>ноября</w:t>
      </w:r>
      <w:r w:rsidR="00F262D2" w:rsidRPr="00F262D2">
        <w:t xml:space="preserve"> 2021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488"/>
        <w:gridCol w:w="1915"/>
        <w:gridCol w:w="4680"/>
        <w:gridCol w:w="1703"/>
        <w:gridCol w:w="687"/>
        <w:gridCol w:w="722"/>
      </w:tblGrid>
      <w:tr w:rsidR="009C26AF" w:rsidRPr="009C26AF" w:rsidTr="00D24AA5">
        <w:trPr>
          <w:trHeight w:val="458"/>
          <w:tblHeader/>
        </w:trPr>
        <w:tc>
          <w:tcPr>
            <w:tcW w:w="2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24AA5">
        <w:trPr>
          <w:trHeight w:val="1414"/>
          <w:tblHeader/>
        </w:trPr>
        <w:tc>
          <w:tcPr>
            <w:tcW w:w="2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5"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CB3C82" w:rsidRPr="00DB3240" w:rsidTr="00D24AA5">
        <w:trPr>
          <w:trHeight w:val="257"/>
        </w:trPr>
        <w:tc>
          <w:tcPr>
            <w:tcW w:w="239" w:type="pct"/>
            <w:tcBorders>
              <w:top w:val="single" w:sz="4" w:space="0" w:color="000000"/>
              <w:left w:val="single" w:sz="4" w:space="0" w:color="000000"/>
              <w:bottom w:val="single" w:sz="4" w:space="0" w:color="000000"/>
              <w:right w:val="nil"/>
            </w:tcBorders>
            <w:hideMark/>
          </w:tcPr>
          <w:p w:rsidR="00CB3C82" w:rsidRPr="00DB3240" w:rsidRDefault="00CB3C82" w:rsidP="00CB3C82">
            <w:pPr>
              <w:autoSpaceDE w:val="0"/>
              <w:autoSpaceDN w:val="0"/>
              <w:adjustRightInd w:val="0"/>
              <w:jc w:val="center"/>
            </w:pPr>
            <w:r w:rsidRPr="00DB3240">
              <w:t>1.</w:t>
            </w:r>
          </w:p>
        </w:tc>
        <w:tc>
          <w:tcPr>
            <w:tcW w:w="939" w:type="pct"/>
            <w:tcBorders>
              <w:top w:val="single" w:sz="4" w:space="0" w:color="000000"/>
              <w:left w:val="single" w:sz="4" w:space="0" w:color="000000"/>
              <w:bottom w:val="single" w:sz="4" w:space="0" w:color="000000"/>
              <w:right w:val="single" w:sz="4" w:space="0" w:color="auto"/>
            </w:tcBorders>
          </w:tcPr>
          <w:p w:rsidR="00CB3C82" w:rsidRPr="00F662BD" w:rsidRDefault="00CB3C82" w:rsidP="00CB3C82">
            <w:r w:rsidRPr="009414CF">
              <w:t>Протез предплечья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CB3C82" w:rsidRPr="00F662BD" w:rsidRDefault="00CB3C82" w:rsidP="00CB3C82">
            <w:pPr>
              <w:jc w:val="both"/>
            </w:pPr>
            <w:r w:rsidRPr="009414CF">
              <w:t xml:space="preserve">Протез предплечья с внешним источником энергии состоит из двух основных частей: гильзы и модуля кисти. Гильза в свою очередь из приемной и внешней (несущей). Модуль кисти имеет 6 независимых степеней свободы – по одной на каждый палец и активную ротацию большого пальца, что даёт возможность выполнять произвольно настраиваемые жесты и использовать схваты для различных предметом и действий с ними. Приводы пальцев электромеханические. В памяти протеза одновременно находится не более 2 </w:t>
            </w:r>
            <w:proofErr w:type="spellStart"/>
            <w:r w:rsidRPr="009414CF">
              <w:t>преднастроенных</w:t>
            </w:r>
            <w:proofErr w:type="spellEnd"/>
            <w:r w:rsidRPr="009414CF">
              <w:t xml:space="preserve"> жестов. Конфигурацию жеста выбирает сам пользователь. Можно настроить более 14 жестов. Пальцы со 2–</w:t>
            </w:r>
            <w:proofErr w:type="spellStart"/>
            <w:r w:rsidRPr="009414CF">
              <w:t>го</w:t>
            </w:r>
            <w:proofErr w:type="spellEnd"/>
            <w:r w:rsidRPr="009414CF">
              <w:t xml:space="preserve"> по 5–</w:t>
            </w:r>
            <w:proofErr w:type="spellStart"/>
            <w:r w:rsidRPr="009414CF">
              <w:t>ый</w:t>
            </w:r>
            <w:proofErr w:type="spellEnd"/>
            <w:r w:rsidRPr="009414CF">
              <w:t xml:space="preserve"> имеют 2 подвижных взаимозависимых сустава. Большой палец кисти с электромеханическим управлением движений обеспечивает их позиционное противопоставление, сгибание-разгибание, приведение-отведение. Ладонь и кончики пальцев оснащены противоскользящими силиконовыми накладками. Имеется возможность создания различных по форме и цвету вариантов модуля кисти. Без косметической оболочки. Управление протезом осуществляется за счет регистрации на поверхности кожи культи </w:t>
            </w:r>
            <w:proofErr w:type="spellStart"/>
            <w:r w:rsidRPr="009414CF">
              <w:t>электромиографического</w:t>
            </w:r>
            <w:proofErr w:type="spellEnd"/>
            <w:r w:rsidRPr="009414CF">
              <w:t xml:space="preserve"> сигнала посредством </w:t>
            </w:r>
            <w:proofErr w:type="spellStart"/>
            <w:r w:rsidRPr="009414CF">
              <w:t>миодатчиков</w:t>
            </w:r>
            <w:proofErr w:type="spellEnd"/>
            <w:r w:rsidRPr="009414CF">
              <w:t xml:space="preserve">, зафиксированных во внутренней гильзе. </w:t>
            </w:r>
            <w:r w:rsidRPr="009414CF">
              <w:lastRenderedPageBreak/>
              <w:t xml:space="preserve">Управление скоростью и силой </w:t>
            </w:r>
            <w:proofErr w:type="spellStart"/>
            <w:r w:rsidRPr="009414CF">
              <w:t>схвата</w:t>
            </w:r>
            <w:proofErr w:type="spellEnd"/>
            <w:r w:rsidRPr="009414CF">
              <w:t xml:space="preserve"> может осуществляться пропорционально силе напряжения мышц культи, что позволяет брать хрупкие предметы. Управление протезом – одно/двухканальное. В качестве источника энергии служит заряжаемый, несъемный литий-ионный аккумулятор с защитой от перезаряда. Имеется светодиодная индикация статуса батареи. Протез имеет пассивную ротацию</w:t>
            </w:r>
            <w:bookmarkStart w:id="0" w:name="_GoBack"/>
            <w:bookmarkEnd w:id="0"/>
            <w:r w:rsidRPr="009414CF">
              <w:t xml:space="preserve"> кисти в лучезапястном шарнире запястья. Модуль ротации имеет механизм быстрого отсоединения модуля кисти от гильзы. Внешняя гильза изготавливается по индивидуальному гипсовому слепку из слоистых композиционных материалов на основе акриловых смол с угле – и стекловолоконным наполнением. Приемная гильза изготавливается из мягких смол (</w:t>
            </w:r>
            <w:proofErr w:type="spellStart"/>
            <w:r w:rsidRPr="009414CF">
              <w:t>термолин</w:t>
            </w:r>
            <w:proofErr w:type="spellEnd"/>
            <w:r w:rsidRPr="009414CF">
              <w:t xml:space="preserve">) или силикона. Удержание на культе за счет длины ее костной части и объема мягких тканей или удержание протеза на культе за счёт мягких тканей и формы </w:t>
            </w:r>
            <w:proofErr w:type="gramStart"/>
            <w:r w:rsidRPr="009414CF">
              <w:t xml:space="preserve">культи.   </w:t>
            </w:r>
            <w:proofErr w:type="gramEnd"/>
            <w:r w:rsidRPr="009414CF">
              <w:t xml:space="preserve"> </w:t>
            </w:r>
          </w:p>
        </w:tc>
        <w:tc>
          <w:tcPr>
            <w:tcW w:w="835" w:type="pct"/>
            <w:tcBorders>
              <w:top w:val="single" w:sz="4" w:space="0" w:color="000000"/>
              <w:left w:val="single" w:sz="4" w:space="0" w:color="auto"/>
              <w:bottom w:val="single" w:sz="4" w:space="0" w:color="000000"/>
              <w:right w:val="nil"/>
            </w:tcBorders>
          </w:tcPr>
          <w:p w:rsidR="00CB3C82" w:rsidRPr="00DB3240" w:rsidRDefault="00CB3C82" w:rsidP="00CB3C82">
            <w:pPr>
              <w:autoSpaceDE w:val="0"/>
              <w:autoSpaceDN w:val="0"/>
              <w:adjustRightInd w:val="0"/>
              <w:jc w:val="center"/>
            </w:pPr>
            <w:r w:rsidRPr="00DB3240">
              <w:lastRenderedPageBreak/>
              <w:t>Соответствует</w:t>
            </w:r>
          </w:p>
        </w:tc>
        <w:tc>
          <w:tcPr>
            <w:tcW w:w="337" w:type="pct"/>
            <w:tcBorders>
              <w:top w:val="single" w:sz="4" w:space="0" w:color="auto"/>
              <w:left w:val="single" w:sz="4" w:space="0" w:color="000000"/>
              <w:bottom w:val="single" w:sz="4" w:space="0" w:color="000000"/>
              <w:right w:val="single" w:sz="4" w:space="0" w:color="auto"/>
            </w:tcBorders>
          </w:tcPr>
          <w:p w:rsidR="00CB3C82" w:rsidRPr="00DB3240" w:rsidRDefault="00CB3C82" w:rsidP="00CB3C82">
            <w:pPr>
              <w:jc w:val="center"/>
            </w:pPr>
            <w:r w:rsidRPr="00DB3240">
              <w:t>шт.</w:t>
            </w:r>
          </w:p>
        </w:tc>
        <w:tc>
          <w:tcPr>
            <w:tcW w:w="354" w:type="pct"/>
            <w:tcBorders>
              <w:top w:val="single" w:sz="4" w:space="0" w:color="auto"/>
              <w:left w:val="single" w:sz="4" w:space="0" w:color="auto"/>
              <w:bottom w:val="single" w:sz="4" w:space="0" w:color="auto"/>
              <w:right w:val="single" w:sz="4" w:space="0" w:color="auto"/>
            </w:tcBorders>
          </w:tcPr>
          <w:p w:rsidR="00CB3C82" w:rsidRPr="00DB3240" w:rsidRDefault="00CB3C82" w:rsidP="00CB3C82">
            <w:pPr>
              <w:autoSpaceDE w:val="0"/>
              <w:autoSpaceDN w:val="0"/>
              <w:adjustRightInd w:val="0"/>
              <w:jc w:val="center"/>
            </w:pPr>
            <w:r w:rsidRPr="00DB3240">
              <w:t>1</w:t>
            </w:r>
          </w:p>
        </w:tc>
      </w:tr>
    </w:tbl>
    <w:p w:rsidR="005F2386" w:rsidRDefault="005F2386" w:rsidP="005F2386">
      <w:pPr>
        <w:widowControl w:val="0"/>
        <w:autoSpaceDE w:val="0"/>
        <w:ind w:firstLine="709"/>
        <w:jc w:val="both"/>
        <w:rPr>
          <w:sz w:val="26"/>
          <w:szCs w:val="26"/>
        </w:rPr>
      </w:pPr>
    </w:p>
    <w:p w:rsidR="00F262D2" w:rsidRPr="0001336F" w:rsidRDefault="00F262D2" w:rsidP="00F262D2">
      <w:pPr>
        <w:autoSpaceDE w:val="0"/>
        <w:autoSpaceDN w:val="0"/>
        <w:adjustRightInd w:val="0"/>
        <w:ind w:firstLine="540"/>
        <w:jc w:val="both"/>
      </w:pPr>
      <w:r>
        <w:t>Протез должен</w:t>
      </w:r>
      <w:r w:rsidRPr="0001336F">
        <w:t xml:space="preserve">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262D2" w:rsidRPr="0001336F" w:rsidRDefault="00F262D2" w:rsidP="00F262D2">
      <w:pPr>
        <w:autoSpaceDE w:val="0"/>
        <w:autoSpaceDN w:val="0"/>
        <w:adjustRightInd w:val="0"/>
        <w:ind w:firstLine="540"/>
        <w:jc w:val="both"/>
      </w:pPr>
      <w:r w:rsidRPr="0001336F">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F262D2" w:rsidRPr="0001336F" w:rsidRDefault="00F262D2" w:rsidP="00F262D2">
      <w:pPr>
        <w:autoSpaceDE w:val="0"/>
        <w:autoSpaceDN w:val="0"/>
        <w:adjustRightInd w:val="0"/>
        <w:ind w:firstLine="540"/>
        <w:jc w:val="both"/>
      </w:pPr>
      <w:r w:rsidRPr="0001336F">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F262D2" w:rsidRPr="0001336F" w:rsidRDefault="00F262D2" w:rsidP="00F262D2">
      <w:pPr>
        <w:autoSpaceDE w:val="0"/>
        <w:autoSpaceDN w:val="0"/>
        <w:adjustRightInd w:val="0"/>
        <w:ind w:firstLine="540"/>
        <w:jc w:val="both"/>
      </w:pPr>
      <w:r w:rsidRPr="0001336F">
        <w:t>Узлы протеза должны быть стойкими к воздействию физиологических растворов (пота, мочи).</w:t>
      </w:r>
    </w:p>
    <w:p w:rsidR="00F262D2" w:rsidRPr="0001336F" w:rsidRDefault="00F262D2" w:rsidP="00F262D2">
      <w:pPr>
        <w:autoSpaceDE w:val="0"/>
        <w:autoSpaceDN w:val="0"/>
        <w:adjustRightInd w:val="0"/>
        <w:ind w:firstLine="540"/>
        <w:jc w:val="both"/>
      </w:pPr>
      <w:r w:rsidRPr="0001336F">
        <w:t>Металлические части протеза должны быть изготовлены из коррозийно-стойких материалов или защищены от коррозии специальными покрытиями.</w:t>
      </w:r>
    </w:p>
    <w:p w:rsidR="00F262D2" w:rsidRPr="0001336F" w:rsidRDefault="00F262D2" w:rsidP="00F262D2">
      <w:pPr>
        <w:autoSpaceDE w:val="0"/>
        <w:autoSpaceDN w:val="0"/>
        <w:adjustRightInd w:val="0"/>
        <w:ind w:firstLine="540"/>
        <w:jc w:val="both"/>
      </w:pPr>
      <w:r w:rsidRPr="0001336F">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F262D2" w:rsidRPr="0001336F" w:rsidRDefault="00F262D2" w:rsidP="00F262D2">
      <w:pPr>
        <w:autoSpaceDE w:val="0"/>
        <w:autoSpaceDN w:val="0"/>
        <w:adjustRightInd w:val="0"/>
        <w:ind w:firstLine="540"/>
        <w:jc w:val="both"/>
      </w:pPr>
      <w:r w:rsidRPr="0001336F">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FB" w:rsidRDefault="004E20FB" w:rsidP="00D7115C">
      <w:r>
        <w:separator/>
      </w:r>
    </w:p>
  </w:endnote>
  <w:endnote w:type="continuationSeparator" w:id="0">
    <w:p w:rsidR="004E20FB" w:rsidRDefault="004E20FB"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FB" w:rsidRDefault="004E20FB" w:rsidP="00D7115C">
      <w:r>
        <w:separator/>
      </w:r>
    </w:p>
  </w:footnote>
  <w:footnote w:type="continuationSeparator" w:id="0">
    <w:p w:rsidR="004E20FB" w:rsidRDefault="004E20FB"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A1B23"/>
    <w:rsid w:val="001C1494"/>
    <w:rsid w:val="002B465D"/>
    <w:rsid w:val="00310864"/>
    <w:rsid w:val="003210F2"/>
    <w:rsid w:val="00333A18"/>
    <w:rsid w:val="003D486E"/>
    <w:rsid w:val="003E36EE"/>
    <w:rsid w:val="00427C62"/>
    <w:rsid w:val="00457089"/>
    <w:rsid w:val="004667AA"/>
    <w:rsid w:val="004B058A"/>
    <w:rsid w:val="004C1D05"/>
    <w:rsid w:val="004D497F"/>
    <w:rsid w:val="004E20FB"/>
    <w:rsid w:val="004F2140"/>
    <w:rsid w:val="00585EDA"/>
    <w:rsid w:val="005935A0"/>
    <w:rsid w:val="005D4418"/>
    <w:rsid w:val="005F2386"/>
    <w:rsid w:val="006B1634"/>
    <w:rsid w:val="006F603A"/>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3C82"/>
    <w:rsid w:val="00CB473D"/>
    <w:rsid w:val="00CC1AB3"/>
    <w:rsid w:val="00CE28E3"/>
    <w:rsid w:val="00D01082"/>
    <w:rsid w:val="00D20ED9"/>
    <w:rsid w:val="00D24AA5"/>
    <w:rsid w:val="00D7115C"/>
    <w:rsid w:val="00D8164D"/>
    <w:rsid w:val="00D865A8"/>
    <w:rsid w:val="00DB3240"/>
    <w:rsid w:val="00DC4D5C"/>
    <w:rsid w:val="00E35808"/>
    <w:rsid w:val="00E46D81"/>
    <w:rsid w:val="00ED4626"/>
    <w:rsid w:val="00F262D2"/>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43</cp:revision>
  <dcterms:created xsi:type="dcterms:W3CDTF">2020-08-12T05:43:00Z</dcterms:created>
  <dcterms:modified xsi:type="dcterms:W3CDTF">2021-09-13T06:45:00Z</dcterms:modified>
</cp:coreProperties>
</file>