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3D0B3F" w:rsidP="003D0B3F">
      <w:pPr>
        <w:pStyle w:val="Style8"/>
        <w:widowControl/>
        <w:tabs>
          <w:tab w:val="left" w:pos="2010"/>
          <w:tab w:val="center" w:pos="4819"/>
        </w:tabs>
        <w:spacing w:before="67"/>
        <w:rPr>
          <w:rStyle w:val="FontStyle64"/>
        </w:rPr>
      </w:pPr>
      <w:r>
        <w:rPr>
          <w:rStyle w:val="FontStyle64"/>
        </w:rPr>
        <w:tab/>
      </w:r>
      <w:r>
        <w:rPr>
          <w:rStyle w:val="FontStyle64"/>
        </w:rPr>
        <w:tab/>
      </w:r>
      <w:r w:rsidR="00F90900">
        <w:rPr>
          <w:rStyle w:val="FontStyle64"/>
        </w:rPr>
        <w:t>Техническое задание</w:t>
      </w:r>
    </w:p>
    <w:p w:rsidR="00C53B71" w:rsidRDefault="00C53B71">
      <w:pPr>
        <w:pStyle w:val="Style8"/>
        <w:widowControl/>
        <w:spacing w:before="67"/>
        <w:jc w:val="both"/>
        <w:rPr>
          <w:rStyle w:val="FontStyle64"/>
        </w:rPr>
        <w:sectPr w:rsidR="00C53B71" w:rsidSect="00AC353E">
          <w:headerReference w:type="even" r:id="rId8"/>
          <w:headerReference w:type="default" r:id="rId9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</w:p>
    <w:p w:rsidR="005B2013" w:rsidRDefault="005B2013" w:rsidP="005B2013">
      <w:pPr>
        <w:tabs>
          <w:tab w:val="left" w:pos="0"/>
        </w:tabs>
        <w:spacing w:line="240" w:lineRule="auto"/>
        <w:ind w:firstLine="0"/>
        <w:rPr>
          <w:kern w:val="1"/>
          <w:sz w:val="26"/>
          <w:szCs w:val="26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4107"/>
        <w:gridCol w:w="1279"/>
      </w:tblGrid>
      <w:tr w:rsidR="005B2013" w:rsidRPr="005B2013" w:rsidTr="00411330">
        <w:tc>
          <w:tcPr>
            <w:tcW w:w="562" w:type="dxa"/>
            <w:hideMark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№ п</w:t>
            </w:r>
            <w:r w:rsidRPr="005B2013">
              <w:rPr>
                <w:bCs/>
                <w:sz w:val="20"/>
                <w:lang w:val="en-US"/>
              </w:rPr>
              <w:t>/</w:t>
            </w:r>
            <w:r w:rsidRPr="005B2013">
              <w:rPr>
                <w:bCs/>
                <w:sz w:val="20"/>
              </w:rPr>
              <w:t>п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Наименование товара</w:t>
            </w:r>
          </w:p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5B2013" w:rsidRPr="005B2013" w:rsidRDefault="005B2013" w:rsidP="005B2013">
            <w:pPr>
              <w:suppressLineNumbers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КОЗ/ОКПД2/ КТРУ</w:t>
            </w:r>
          </w:p>
        </w:tc>
        <w:tc>
          <w:tcPr>
            <w:tcW w:w="4107" w:type="dxa"/>
            <w:hideMark/>
          </w:tcPr>
          <w:p w:rsidR="005B2013" w:rsidRPr="005B2013" w:rsidRDefault="005B2013" w:rsidP="005B2013">
            <w:pPr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>Описание функциональных и технических характеристик товара</w:t>
            </w:r>
          </w:p>
        </w:tc>
        <w:tc>
          <w:tcPr>
            <w:tcW w:w="1279" w:type="dxa"/>
            <w:hideMark/>
          </w:tcPr>
          <w:p w:rsidR="005B2013" w:rsidRPr="005B2013" w:rsidRDefault="005B2013" w:rsidP="005B2013">
            <w:pPr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  <w:lang w:eastAsia="ru-RU"/>
              </w:rPr>
              <w:t xml:space="preserve">Начальная цена единицы </w:t>
            </w:r>
            <w:r w:rsidRPr="005B2013">
              <w:rPr>
                <w:rFonts w:eastAsia="Arial"/>
                <w:color w:val="000000"/>
                <w:sz w:val="20"/>
              </w:rPr>
              <w:t>товара</w:t>
            </w:r>
            <w:r w:rsidRPr="005B2013">
              <w:rPr>
                <w:rFonts w:eastAsia="Lucida Sans Unicode"/>
                <w:spacing w:val="-4"/>
                <w:kern w:val="3"/>
                <w:sz w:val="20"/>
              </w:rPr>
              <w:t>, руб.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BE5BDC" w:rsidP="00BE5BDC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/>
                <w:sz w:val="20"/>
              </w:rPr>
              <w:t>Анальный тампон (средство ухода при недержании кала</w:t>
            </w:r>
            <w:r w:rsidRPr="005B2013">
              <w:rPr>
                <w:sz w:val="20"/>
              </w:rPr>
              <w:t>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 xml:space="preserve">Анальный тампон (средство ухода при недержании кала) 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  <w:lang w:eastAsia="en-US" w:bidi="en-US"/>
              </w:rPr>
            </w:pPr>
            <w:r w:rsidRPr="005B2013">
              <w:rPr>
                <w:bCs/>
                <w:color w:val="000000" w:themeColor="text1"/>
                <w:sz w:val="20"/>
                <w:lang w:eastAsia="en-US" w:bidi="en-US"/>
              </w:rPr>
              <w:t>01.28.21.01.27/32.50.13.190/</w:t>
            </w:r>
          </w:p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  <w:lang w:eastAsia="en-US" w:bidi="en-US"/>
              </w:rPr>
            </w:pPr>
            <w:r w:rsidRPr="005B2013">
              <w:rPr>
                <w:bCs/>
                <w:color w:val="000000" w:themeColor="text1"/>
                <w:sz w:val="20"/>
                <w:lang w:eastAsia="en-US" w:bidi="en-US"/>
              </w:rPr>
              <w:t>32.50.13.190-00006915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rFonts w:eastAsia="Arial Unicode MS"/>
                <w:bCs/>
                <w:sz w:val="20"/>
              </w:rPr>
            </w:pPr>
            <w:r w:rsidRPr="005B2013">
              <w:rPr>
                <w:rFonts w:eastAsia="Times New Roman CYR"/>
                <w:bCs/>
                <w:sz w:val="20"/>
              </w:rPr>
              <w:t>Анальный тампон (средство ухода при недержании кала)</w:t>
            </w:r>
            <w:r w:rsidRPr="005B2013">
              <w:rPr>
                <w:rFonts w:eastAsia="Arial Unicode MS"/>
                <w:bCs/>
                <w:sz w:val="20"/>
              </w:rPr>
              <w:t xml:space="preserve">: </w:t>
            </w:r>
            <w:r w:rsidRPr="005B2013">
              <w:rPr>
                <w:rFonts w:eastAsia="Arial Unicode MS"/>
                <w:sz w:val="20"/>
              </w:rPr>
              <w:t>анальный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rFonts w:eastAsia="Arial Unicode MS"/>
                <w:sz w:val="20"/>
              </w:rPr>
            </w:pPr>
            <w:r w:rsidRPr="005B2013">
              <w:rPr>
                <w:rFonts w:eastAsia="Arial Unicode MS"/>
                <w:sz w:val="20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rFonts w:eastAsia="Arial Unicode MS"/>
                <w:sz w:val="20"/>
              </w:rPr>
            </w:pPr>
            <w:r w:rsidRPr="005B2013">
              <w:rPr>
                <w:rFonts w:eastAsia="Arial Unicode MS"/>
                <w:sz w:val="20"/>
              </w:rPr>
              <w:t>Размер анальных тампонов: 37 мм (маленький).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230,22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>Паста герметик для защиты и выравнивания кожи вокруг стомы в тубе, не менее 60 г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autoSpaceDE w:val="0"/>
              <w:snapToGrid/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0"/>
                <w:lang w:eastAsia="en-US" w:bidi="en-US"/>
              </w:rPr>
            </w:pPr>
            <w:r w:rsidRPr="005B2013">
              <w:rPr>
                <w:color w:val="000000" w:themeColor="text1"/>
                <w:spacing w:val="-2"/>
                <w:sz w:val="20"/>
                <w:lang w:eastAsia="en-US" w:bidi="en-US"/>
              </w:rPr>
              <w:t>01.28.21.01.29/32.50.13.190/ отсутствует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5B2013">
              <w:rPr>
                <w:bCs/>
                <w:sz w:val="20"/>
              </w:rPr>
              <w:t>Паста, герметизирующая для защиты кожи, герметизации уро- или калоприемника, выравнивает шрамы, впадинки, складки на коже вокруг стомы, туба не менее 60 гр.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367,52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sz w:val="20"/>
              </w:rPr>
              <w:t>Крем защитный в тубе,</w:t>
            </w:r>
            <w:r w:rsidRPr="005B2013">
              <w:rPr>
                <w:b/>
                <w:bCs/>
                <w:sz w:val="20"/>
              </w:rPr>
              <w:t xml:space="preserve"> не менее 60 г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autoSpaceDE w:val="0"/>
              <w:snapToGrid/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0"/>
                <w:lang w:eastAsia="en-US" w:bidi="en-US"/>
              </w:rPr>
            </w:pPr>
            <w:r w:rsidRPr="005B2013">
              <w:rPr>
                <w:color w:val="000000" w:themeColor="text1"/>
                <w:spacing w:val="-2"/>
                <w:sz w:val="20"/>
                <w:lang w:eastAsia="en-US" w:bidi="en-US"/>
              </w:rPr>
              <w:t>01.28.21.01.31/32.50.13.190/ отсутствует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Крем защитный для кожи вокруг стомы — профилактическое и заживляющее средство при раздражении и мацерании кожи вокруг стомы. 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Защитный крем, туба не менее 60 мл.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238,25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>Пудра (порошок) абсорбирующая в тубе, не менее 25 г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01.28.21.01.32/</w:t>
            </w:r>
            <w:r w:rsidRPr="005B2013">
              <w:rPr>
                <w:bCs/>
                <w:color w:val="000000" w:themeColor="text1"/>
                <w:sz w:val="20"/>
              </w:rPr>
              <w:t>32.50.13.190/</w:t>
            </w:r>
            <w:r w:rsidRPr="005B2013">
              <w:rPr>
                <w:color w:val="000000" w:themeColor="text1"/>
                <w:spacing w:val="-2"/>
                <w:sz w:val="20"/>
                <w:lang w:eastAsia="en-US" w:bidi="en-US"/>
              </w:rPr>
              <w:t xml:space="preserve"> отсутствует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Пудра (порошок) абсорбирующий для ухода за мацерированной кожей, устранения осложнений и раздражений кожи в перистомальной области, туба не менее 25 гр.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224,34</w:t>
            </w:r>
          </w:p>
        </w:tc>
      </w:tr>
      <w:tr w:rsidR="005B2013" w:rsidRPr="005B2013" w:rsidTr="00411330">
        <w:trPr>
          <w:trHeight w:val="274"/>
        </w:trPr>
        <w:tc>
          <w:tcPr>
            <w:tcW w:w="562" w:type="dxa"/>
          </w:tcPr>
          <w:p w:rsidR="005B2013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 xml:space="preserve">Очиститель для кожи во флаконе, не менее 180 мл 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sz w:val="20"/>
              </w:rPr>
              <w:t>Очиститель для кожи во флаконе, не менее 180 мл</w:t>
            </w:r>
            <w:r w:rsidRPr="005B2013">
              <w:t xml:space="preserve"> 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sz w:val="20"/>
              </w:rPr>
              <w:t>01.28.21.01.35/</w:t>
            </w:r>
            <w:r w:rsidRPr="005B2013">
              <w:rPr>
                <w:bCs/>
                <w:color w:val="000000" w:themeColor="text1"/>
                <w:sz w:val="20"/>
              </w:rPr>
              <w:t>32.50.13.190/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t>32.50.13.190-00006910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Очиститель для кожи вокруг стомы — 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 защитной пасты и пленки, комфортно обеспечивать гигиену кожи вокруг стомы. Очиститель для кожи, флакон не менее 180 мл. 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264,89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>Очиститель для кожи в форме салфеток, не менее 30 шт.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lastRenderedPageBreak/>
              <w:t>Очиститель для кожи в форме салфеток, не менее 30 шт.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lastRenderedPageBreak/>
              <w:t>01.28.21.01.36/32.50.13.190/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32.50.13.190-00006911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Очиститель для кожи в форме салфеток. Салфетки, пропитанные раствором.</w:t>
            </w:r>
            <w:r w:rsidRPr="005B2013">
              <w:rPr>
                <w:sz w:val="20"/>
              </w:rPr>
              <w:t xml:space="preserve"> О</w:t>
            </w:r>
            <w:r w:rsidRPr="005B2013">
              <w:rPr>
                <w:bCs/>
                <w:sz w:val="20"/>
              </w:rPr>
              <w:t xml:space="preserve">чищающее средство для ухода за кожей вокруг стомы, заменяющее мыло и воду, растворители и другие агрессивные или высушивающие кожу вещества, для безопасного удаления остатков адгезива, защитной пасты и пленки. Очиститель в </w:t>
            </w:r>
            <w:r w:rsidRPr="005B2013">
              <w:rPr>
                <w:bCs/>
                <w:sz w:val="20"/>
              </w:rPr>
              <w:lastRenderedPageBreak/>
              <w:t>форме салфеток, не менее 30 шт. в упаковке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lastRenderedPageBreak/>
              <w:t>32,83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>Паста-герметик для защиты и выравнивания кожи вокруг стомы в полосках, не менее 60 г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(наименование по 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  <w:lang w:eastAsia="zh-CN"/>
              </w:rPr>
            </w:pPr>
            <w:r w:rsidRPr="005B2013">
              <w:rPr>
                <w:bCs/>
                <w:sz w:val="20"/>
              </w:rPr>
              <w:t>01.28.21.01.30/32.50.13.190/</w:t>
            </w:r>
            <w:r w:rsidRPr="005B2013">
              <w:t xml:space="preserve"> </w:t>
            </w:r>
            <w:r w:rsidRPr="005B2013">
              <w:rPr>
                <w:bCs/>
                <w:sz w:val="20"/>
              </w:rPr>
              <w:t>отсутствует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  <w:lang w:eastAsia="fa-IR" w:bidi="fa-IR"/>
              </w:rPr>
            </w:pPr>
            <w:r w:rsidRPr="005B2013">
              <w:rPr>
                <w:sz w:val="20"/>
                <w:lang w:eastAsia="zh-CN"/>
              </w:rPr>
              <w:t>Паста-герметик в полосках для защиты кожи, герметизации калоприемника, выравнивания шрамов и складок на коже вокруг стомы.</w:t>
            </w:r>
            <w:r w:rsidRPr="005B2013">
              <w:rPr>
                <w:sz w:val="20"/>
                <w:lang w:eastAsia="fa-IR" w:bidi="fa-IR"/>
              </w:rPr>
              <w:t xml:space="preserve"> Каждая полоска в индивидуальной упаковке.  Объем одной упаковки не менее 60 г. 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  <w:lang w:eastAsia="zh-CN"/>
              </w:rPr>
            </w:pPr>
            <w:r w:rsidRPr="005B2013">
              <w:rPr>
                <w:sz w:val="20"/>
                <w:lang w:eastAsia="fa-IR" w:bidi="fa-IR"/>
              </w:rPr>
              <w:t>(По данной позиции 1 штука товара равна 1 штуке индивидуальной полоске)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99,24</w:t>
            </w:r>
          </w:p>
        </w:tc>
      </w:tr>
      <w:tr w:rsidR="005B2013" w:rsidRPr="005B2013" w:rsidTr="00411330">
        <w:trPr>
          <w:trHeight w:val="230"/>
        </w:trPr>
        <w:tc>
          <w:tcPr>
            <w:tcW w:w="562" w:type="dxa"/>
          </w:tcPr>
          <w:p w:rsidR="005B2013" w:rsidRPr="005B2013" w:rsidRDefault="00BE5BDC" w:rsidP="00BE5BDC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B2013">
              <w:rPr>
                <w:b/>
                <w:bCs/>
                <w:color w:val="000000" w:themeColor="text1"/>
                <w:sz w:val="20"/>
              </w:rPr>
              <w:t>Защитная пленка во флаконе, не менее 50 мл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t>01.28.21.01.33/32.50.13.190/ отсутствует</w:t>
            </w:r>
          </w:p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Защитная пленка для кожи вокруг стомы – защитное, 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адгезивных пластин, во флаконе не менее 50 мл.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381,33</w:t>
            </w:r>
          </w:p>
        </w:tc>
      </w:tr>
      <w:tr w:rsidR="005B2013" w:rsidRPr="005B2013" w:rsidTr="00411330">
        <w:trPr>
          <w:trHeight w:val="230"/>
        </w:trPr>
        <w:tc>
          <w:tcPr>
            <w:tcW w:w="562" w:type="dxa"/>
          </w:tcPr>
          <w:p w:rsidR="005B2013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B2013">
              <w:rPr>
                <w:b/>
                <w:bCs/>
                <w:color w:val="000000" w:themeColor="text1"/>
                <w:sz w:val="20"/>
              </w:rPr>
              <w:t>Защитная пленка в форме салфеток, не менее 30 шт.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t>01.28.21.01.34/32.50.13.190/ отсутствует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Защитное водоотталкивающее средство, предохраняющее кожу от воздействия выделений из стомы и повреждений при удалении адгезивной пластины. Салфетки в индивидуальной упаковке. Защитная пленка, не менее 30 шт. в упаковке.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36,34</w:t>
            </w: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  <w:vMerge w:val="restart"/>
          </w:tcPr>
          <w:p w:rsidR="00A375AF" w:rsidRPr="005B2013" w:rsidRDefault="00A375AF" w:rsidP="00BE5BDC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BE5BDC"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375AF" w:rsidRPr="00742345" w:rsidRDefault="00A375AF" w:rsidP="0074234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2345">
              <w:rPr>
                <w:b/>
                <w:bCs/>
                <w:color w:val="000000" w:themeColor="text1"/>
                <w:sz w:val="20"/>
              </w:rPr>
              <w:t>Однокомпонентный дренируемый калоприемник со встроенной плоской пластиной</w:t>
            </w:r>
          </w:p>
          <w:p w:rsidR="00A375AF" w:rsidRPr="00742345" w:rsidRDefault="00A375AF" w:rsidP="00742345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742345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  <w:p w:rsidR="00A375AF" w:rsidRPr="00742345" w:rsidRDefault="00A375AF" w:rsidP="00742345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A375AF" w:rsidRPr="00742345" w:rsidRDefault="00A375AF" w:rsidP="00742345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742345">
              <w:rPr>
                <w:bCs/>
                <w:color w:val="000000" w:themeColor="text1"/>
                <w:sz w:val="20"/>
              </w:rPr>
              <w:t>Калоприемник для кишечной стомы открытого типа, однокомпонентный</w:t>
            </w:r>
          </w:p>
          <w:p w:rsidR="00A375AF" w:rsidRPr="005B2013" w:rsidRDefault="00A375AF" w:rsidP="0074234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2345">
              <w:rPr>
                <w:bCs/>
                <w:color w:val="000000" w:themeColor="text1"/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  <w:vMerge w:val="restart"/>
          </w:tcPr>
          <w:p w:rsidR="00A375AF" w:rsidRPr="005B2013" w:rsidRDefault="00A375AF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01.28.21.01.01/32.50.13.190/32.50.13.190-00006906</w:t>
            </w:r>
          </w:p>
        </w:tc>
        <w:tc>
          <w:tcPr>
            <w:tcW w:w="4107" w:type="dxa"/>
          </w:tcPr>
          <w:p w:rsidR="00A375AF" w:rsidRPr="005B2013" w:rsidRDefault="00A375AF" w:rsidP="005B2013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Калоприемники однокомпонентные дренируемые - дренируемый стомный мешок неразъемный, с зажимом, со встроенной адгезивной пластиной на натуральной, гипоаллергенной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стому в диапазоне:</w:t>
            </w:r>
          </w:p>
        </w:tc>
        <w:tc>
          <w:tcPr>
            <w:tcW w:w="1279" w:type="dxa"/>
            <w:vMerge w:val="restart"/>
          </w:tcPr>
          <w:p w:rsidR="00A375AF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102,48</w:t>
            </w: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  <w:vMerge/>
          </w:tcPr>
          <w:p w:rsidR="00A375AF" w:rsidRPr="005B2013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A375AF" w:rsidRPr="005B2013" w:rsidRDefault="00A375AF" w:rsidP="005B201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A375AF" w:rsidRPr="005B2013" w:rsidRDefault="00A375AF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A375AF" w:rsidRPr="005B2013" w:rsidRDefault="00A375AF" w:rsidP="005B2013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Диаметр вырезаемого отверстия от не менее 10 мм. до не более 65 мм.</w:t>
            </w:r>
          </w:p>
        </w:tc>
        <w:tc>
          <w:tcPr>
            <w:tcW w:w="1279" w:type="dxa"/>
            <w:vMerge/>
          </w:tcPr>
          <w:p w:rsidR="00A375AF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  <w:vMerge/>
          </w:tcPr>
          <w:p w:rsidR="00A375AF" w:rsidRPr="005B2013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A375AF" w:rsidRPr="005B2013" w:rsidRDefault="00A375AF" w:rsidP="005B201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A375AF" w:rsidRPr="005B2013" w:rsidRDefault="00A375AF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A375AF" w:rsidRPr="005B2013" w:rsidRDefault="00A375AF" w:rsidP="005B2013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Диаметр вырезаемого отверстия от не менее 10 мм. до не более 70 мм.</w:t>
            </w:r>
          </w:p>
        </w:tc>
        <w:tc>
          <w:tcPr>
            <w:tcW w:w="1279" w:type="dxa"/>
            <w:vMerge/>
          </w:tcPr>
          <w:p w:rsidR="00A375AF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  <w:vMerge/>
          </w:tcPr>
          <w:p w:rsidR="00A375AF" w:rsidRPr="005B2013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A375AF" w:rsidRPr="005B2013" w:rsidRDefault="00A375AF" w:rsidP="005B201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A375AF" w:rsidRPr="005B2013" w:rsidRDefault="00A375AF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A375AF" w:rsidRPr="005B2013" w:rsidRDefault="00A375AF" w:rsidP="005B2013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Диаметр вырезаемого отверстия от не менее 10 мм. до не более 80 мм.</w:t>
            </w:r>
          </w:p>
        </w:tc>
        <w:tc>
          <w:tcPr>
            <w:tcW w:w="1279" w:type="dxa"/>
            <w:vMerge/>
          </w:tcPr>
          <w:p w:rsidR="00A375AF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742345" w:rsidRPr="005B2013" w:rsidTr="00411330">
        <w:trPr>
          <w:trHeight w:val="230"/>
        </w:trPr>
        <w:tc>
          <w:tcPr>
            <w:tcW w:w="562" w:type="dxa"/>
          </w:tcPr>
          <w:p w:rsidR="00742345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2268" w:type="dxa"/>
          </w:tcPr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Однокомпонентный дренируемый калоприемник со встроенной конвексной пластиной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Калоприемник для кишечной стомы открытого типа, однокомпонентный</w:t>
            </w:r>
          </w:p>
          <w:p w:rsidR="00742345" w:rsidRPr="005B2013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 xml:space="preserve">(наименование в </w:t>
            </w:r>
            <w:r w:rsidRPr="00A375AF">
              <w:rPr>
                <w:bCs/>
                <w:color w:val="000000" w:themeColor="text1"/>
                <w:sz w:val="20"/>
              </w:rPr>
              <w:lastRenderedPageBreak/>
              <w:t>соответствии с КТРУ)</w:t>
            </w:r>
          </w:p>
        </w:tc>
        <w:tc>
          <w:tcPr>
            <w:tcW w:w="1418" w:type="dxa"/>
          </w:tcPr>
          <w:p w:rsidR="00742345" w:rsidRPr="005B2013" w:rsidRDefault="00A375AF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lastRenderedPageBreak/>
              <w:t>01.28.21.01.02/32.50.13.190/32.50.13.190-00006906</w:t>
            </w:r>
          </w:p>
        </w:tc>
        <w:tc>
          <w:tcPr>
            <w:tcW w:w="4107" w:type="dxa"/>
          </w:tcPr>
          <w:p w:rsidR="00742345" w:rsidRPr="005B2013" w:rsidRDefault="00A375AF" w:rsidP="005B2013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Калоприемники однокомпонентные конвексные дренируемые должны иметь: - дренируемый стомный мешок неразъемный, с зажимом, со встроенной конвексной адгезивной пластиной на натуральной, гипоаллергенной гидроколлоидной основе с защитным покрытием, из прозрачного или непрозрачного многослойного, не пропускающего запах полиэтилена, с мягкой нетканой подложкой, с вырезаемым отверстием под стому.</w:t>
            </w:r>
          </w:p>
        </w:tc>
        <w:tc>
          <w:tcPr>
            <w:tcW w:w="1279" w:type="dxa"/>
          </w:tcPr>
          <w:p w:rsidR="00742345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254,48</w:t>
            </w: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</w:tcPr>
          <w:p w:rsidR="00A375AF" w:rsidRPr="005B2013" w:rsidRDefault="00BE5BDC" w:rsidP="00BE5BDC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  <w:r w:rsidR="00A375AF">
              <w:rPr>
                <w:bCs/>
                <w:sz w:val="20"/>
              </w:rPr>
              <w:t>2</w:t>
            </w:r>
          </w:p>
        </w:tc>
        <w:tc>
          <w:tcPr>
            <w:tcW w:w="2268" w:type="dxa"/>
          </w:tcPr>
          <w:p w:rsidR="00A375AF" w:rsidRPr="00742345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742345">
              <w:rPr>
                <w:b/>
                <w:bCs/>
                <w:color w:val="000000" w:themeColor="text1"/>
                <w:sz w:val="20"/>
              </w:rPr>
              <w:t xml:space="preserve">Однокомпонентный недренируемый калоприемник со встроенной плоской пластиной </w:t>
            </w:r>
            <w:r w:rsidRPr="00742345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  <w:p w:rsidR="00A375AF" w:rsidRPr="00742345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A375AF" w:rsidRPr="005B2013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2345">
              <w:rPr>
                <w:bCs/>
                <w:color w:val="000000" w:themeColor="text1"/>
                <w:sz w:val="20"/>
              </w:rPr>
              <w:t>Калоприемник для колостомы закрытый, однокомпонентный (наименование в соответствии с КТРУ)</w:t>
            </w:r>
          </w:p>
        </w:tc>
        <w:tc>
          <w:tcPr>
            <w:tcW w:w="1418" w:type="dxa"/>
          </w:tcPr>
          <w:p w:rsidR="00A375AF" w:rsidRPr="005B2013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742345">
              <w:rPr>
                <w:bCs/>
                <w:color w:val="000000" w:themeColor="text1"/>
                <w:sz w:val="20"/>
              </w:rPr>
              <w:t>01.28.21.01.03/32.50.13.190/32.50.13.190-00006905</w:t>
            </w:r>
          </w:p>
        </w:tc>
        <w:tc>
          <w:tcPr>
            <w:tcW w:w="4107" w:type="dxa"/>
          </w:tcPr>
          <w:p w:rsidR="00A375AF" w:rsidRPr="00742345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742345">
              <w:rPr>
                <w:sz w:val="20"/>
              </w:rPr>
              <w:t>Калоприемники однокомпонентные недренируемые - недренируемый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стому в диапазоне:</w:t>
            </w:r>
          </w:p>
          <w:p w:rsidR="00A375AF" w:rsidRPr="005B2013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742345">
              <w:rPr>
                <w:sz w:val="20"/>
              </w:rPr>
              <w:t>Диаметр вырезаемого отверстия от не менее 10 мм. до не более 70 мм.</w:t>
            </w:r>
          </w:p>
        </w:tc>
        <w:tc>
          <w:tcPr>
            <w:tcW w:w="1279" w:type="dxa"/>
          </w:tcPr>
          <w:p w:rsidR="00A375AF" w:rsidRDefault="00A375AF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53,70</w:t>
            </w:r>
          </w:p>
        </w:tc>
      </w:tr>
      <w:tr w:rsidR="00742345" w:rsidRPr="005B2013" w:rsidTr="00411330">
        <w:trPr>
          <w:trHeight w:val="230"/>
        </w:trPr>
        <w:tc>
          <w:tcPr>
            <w:tcW w:w="562" w:type="dxa"/>
          </w:tcPr>
          <w:p w:rsidR="00742345" w:rsidRPr="005B2013" w:rsidRDefault="00BE5BDC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2268" w:type="dxa"/>
          </w:tcPr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Калоприемник для кишечной стомы открытого типа, многокомпонентный</w:t>
            </w:r>
          </w:p>
          <w:p w:rsidR="00742345" w:rsidRPr="005B2013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A375AF" w:rsidRPr="00A375AF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01.28.21.01.07.01/32.50.13.190/</w:t>
            </w:r>
          </w:p>
          <w:p w:rsidR="00742345" w:rsidRPr="005B2013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32.50.13.190-00006904</w:t>
            </w:r>
          </w:p>
        </w:tc>
        <w:tc>
          <w:tcPr>
            <w:tcW w:w="4107" w:type="dxa"/>
          </w:tcPr>
          <w:p w:rsidR="00A375AF" w:rsidRPr="00A375AF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b/>
                <w:sz w:val="20"/>
              </w:rPr>
              <w:t>Двухкомпонентный дренируемый калоприемник в комплекте:</w:t>
            </w:r>
            <w:r w:rsidRPr="00A375AF">
              <w:rPr>
                <w:sz w:val="20"/>
              </w:rPr>
              <w:t xml:space="preserve"> Адгезивная пластина плоская 1 шт. Мешок дренируемый 3 шт. Разъемное устройство, состоящее из двух отдельных компонентов: дренируемого стомного мешка и плоской адгезивной (клеевой) пластины для фиксации калоприемника на передней брюшной стенке; пластина и мешок соединяются между собой с помощью механического или адгезивного фланцевого соединения. </w:t>
            </w:r>
          </w:p>
          <w:p w:rsidR="00A375AF" w:rsidRPr="00A375AF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Адгезивная пластина должна быть изготовлена из гипоаллергенных натуральных гидроколлоидных материалов, с креплениями для пояса. Нестерильное изделие с плоской поверхностью, предназначенное для накладывания и приклеивания к перистомальной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Обычно пациент использует изделие самостоятельно. Это изделие одноразового использования. Пластины с фланцем 60 мм для крепления мешка к пластине, соответствующим фланцу мешка.</w:t>
            </w:r>
          </w:p>
          <w:p w:rsidR="00742345" w:rsidRPr="005B2013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A375AF">
              <w:rPr>
                <w:sz w:val="20"/>
              </w:rPr>
              <w:t>Мешок</w:t>
            </w:r>
            <w:proofErr w:type="gramEnd"/>
            <w:r w:rsidRPr="00A375AF">
              <w:rPr>
                <w:sz w:val="20"/>
              </w:rPr>
              <w:t xml:space="preserve"> дренируемый 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 60 мм.</w:t>
            </w:r>
          </w:p>
        </w:tc>
        <w:tc>
          <w:tcPr>
            <w:tcW w:w="1279" w:type="dxa"/>
          </w:tcPr>
          <w:p w:rsidR="00742345" w:rsidRDefault="00A375AF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386,33</w:t>
            </w: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</w:tcPr>
          <w:p w:rsidR="00A375AF" w:rsidRPr="005B2013" w:rsidRDefault="00BE5BDC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2268" w:type="dxa"/>
          </w:tcPr>
          <w:p w:rsidR="00A375AF" w:rsidRPr="00A375AF" w:rsidRDefault="00A375AF" w:rsidP="00A375AF">
            <w:pPr>
              <w:tabs>
                <w:tab w:val="left" w:pos="315"/>
              </w:tabs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Двухкомпонентный недренируемый калоприемник в комплекте: адгезивная пластина, плоская; мешок недренируемый</w:t>
            </w:r>
          </w:p>
          <w:p w:rsidR="00A375AF" w:rsidRPr="00A375AF" w:rsidRDefault="00A375AF" w:rsidP="00A375AF">
            <w:pPr>
              <w:tabs>
                <w:tab w:val="left" w:pos="315"/>
              </w:tabs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(</w:t>
            </w:r>
            <w:r w:rsidRPr="00A375AF">
              <w:rPr>
                <w:bCs/>
                <w:color w:val="000000" w:themeColor="text1"/>
                <w:sz w:val="20"/>
              </w:rPr>
              <w:t xml:space="preserve">наименование по приказу Минтруда России №86н от </w:t>
            </w:r>
            <w:r w:rsidRPr="00A375AF">
              <w:rPr>
                <w:bCs/>
                <w:color w:val="000000" w:themeColor="text1"/>
                <w:sz w:val="20"/>
              </w:rPr>
              <w:lastRenderedPageBreak/>
              <w:t>13.02.2018)</w:t>
            </w:r>
          </w:p>
          <w:p w:rsidR="00A375AF" w:rsidRPr="00A375AF" w:rsidRDefault="00A375AF" w:rsidP="00A375AF">
            <w:pPr>
              <w:tabs>
                <w:tab w:val="left" w:pos="315"/>
              </w:tabs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A375AF" w:rsidRPr="00A375AF" w:rsidRDefault="00A375AF" w:rsidP="00A375AF">
            <w:pPr>
              <w:tabs>
                <w:tab w:val="left" w:pos="315"/>
              </w:tabs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Калоприемник для колостомы закрытый, многокомпонентный</w:t>
            </w:r>
          </w:p>
          <w:p w:rsidR="00A375AF" w:rsidRPr="005B2013" w:rsidRDefault="00A375AF" w:rsidP="00A375AF">
            <w:pPr>
              <w:tabs>
                <w:tab w:val="left" w:pos="315"/>
              </w:tabs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A375AF" w:rsidRPr="005B2013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lastRenderedPageBreak/>
              <w:t>01.28.21.01.09.01/32.50.13.190/32.50.13.190-00006903</w:t>
            </w:r>
          </w:p>
        </w:tc>
        <w:tc>
          <w:tcPr>
            <w:tcW w:w="4107" w:type="dxa"/>
          </w:tcPr>
          <w:p w:rsidR="00A375AF" w:rsidRPr="009F33BE" w:rsidRDefault="00A375AF" w:rsidP="00A375AF">
            <w:pPr>
              <w:pStyle w:val="a9"/>
              <w:ind w:firstLine="0"/>
              <w:rPr>
                <w:sz w:val="20"/>
              </w:rPr>
            </w:pPr>
            <w:r w:rsidRPr="009F33BE">
              <w:rPr>
                <w:b/>
                <w:sz w:val="20"/>
              </w:rPr>
              <w:t xml:space="preserve">Двухкомпонентный недренируемый калоприемник в комплекте: </w:t>
            </w:r>
            <w:r w:rsidRPr="009F33BE">
              <w:rPr>
                <w:sz w:val="20"/>
              </w:rPr>
              <w:t xml:space="preserve">Адгезивная пластина плоская 1 шт. Мешок недренируемый 6 шт. Разъемное устройство, должно состоять из двух отдельных компонентов: недренируемого стомного мешка и плоской адгезивной (клеевой) пластины для фиксации калоприемника на передней брюшной стенке; пластина и мешок соединяются между собой с помощью </w:t>
            </w:r>
            <w:r w:rsidRPr="009F33BE">
              <w:rPr>
                <w:sz w:val="20"/>
              </w:rPr>
              <w:lastRenderedPageBreak/>
              <w:t>механического или адгезивного фланцевого соединения.</w:t>
            </w:r>
          </w:p>
          <w:p w:rsidR="00A375AF" w:rsidRPr="009F33BE" w:rsidRDefault="00A375AF" w:rsidP="00A375AF">
            <w:pPr>
              <w:pStyle w:val="a9"/>
              <w:ind w:firstLine="0"/>
              <w:rPr>
                <w:sz w:val="20"/>
              </w:rPr>
            </w:pPr>
            <w:r w:rsidRPr="009F33BE">
              <w:rPr>
                <w:sz w:val="20"/>
              </w:rPr>
              <w:t xml:space="preserve">Адгезивная пластина должна быть изготовлена из гипоаллергенных натуральных гидроколлоидных материалов, с креплениями для пояса; должна иметь вырезаемое отверстие под стому, с фланцем для крепления мешка и соответствующим фланцу мешка. </w:t>
            </w:r>
          </w:p>
          <w:p w:rsidR="00A375AF" w:rsidRPr="009F33BE" w:rsidRDefault="00A375AF" w:rsidP="00A375AF">
            <w:pPr>
              <w:pStyle w:val="a9"/>
              <w:ind w:firstLine="0"/>
              <w:rPr>
                <w:sz w:val="20"/>
              </w:rPr>
            </w:pPr>
            <w:r w:rsidRPr="009F33BE">
              <w:rPr>
                <w:sz w:val="20"/>
              </w:rPr>
              <w:t>Закрытый стомный мешок для двухкомпонентного недренируемого калоприемника должен состоять из непрозрачного многослойного, не пропускающего запах материала (пленки), с мягкой нетканой подложкой, с фильтром, с фланцевым соединением для крепления мешка к пластине, диаметром, соответствующим фланцу пластины.</w:t>
            </w:r>
          </w:p>
        </w:tc>
        <w:tc>
          <w:tcPr>
            <w:tcW w:w="1279" w:type="dxa"/>
          </w:tcPr>
          <w:p w:rsidR="00A375AF" w:rsidRDefault="00A375AF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610,33</w:t>
            </w: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</w:tcPr>
          <w:p w:rsidR="00A375AF" w:rsidRDefault="00953B62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 xml:space="preserve">Адгезивная пластина-полукольцо для дополнительной фиксации пластин калоприемников и уроприемников, не менее 40 шт. </w:t>
            </w:r>
            <w:r w:rsidRPr="00A375AF">
              <w:rPr>
                <w:bCs/>
                <w:color w:val="000000" w:themeColor="text1"/>
                <w:sz w:val="20"/>
              </w:rPr>
              <w:t>(наименование по приказу Минтруда России №107н от 05.03.2021)</w:t>
            </w:r>
          </w:p>
        </w:tc>
        <w:tc>
          <w:tcPr>
            <w:tcW w:w="1418" w:type="dxa"/>
          </w:tcPr>
          <w:p w:rsidR="00A375AF" w:rsidRPr="00A375AF" w:rsidRDefault="00A375AF" w:rsidP="00A375AF">
            <w:pPr>
              <w:pStyle w:val="a9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01.28.21.01.39/32.50.13.190/отсутствует</w:t>
            </w:r>
          </w:p>
          <w:p w:rsidR="00A375AF" w:rsidRPr="00A375AF" w:rsidRDefault="00A375AF" w:rsidP="00A375AF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4107" w:type="dxa"/>
          </w:tcPr>
          <w:p w:rsidR="00A375AF" w:rsidRPr="00A375AF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Эластичная пластина-полукольцо должно подходить для получателей любого телосложения, следовать рельефу и движением тела, обеспечивает дополнительную фиксацию пластины калоприемника или уроприемника по внешнему краю. Пластина-полукольцо должно легко удаляться вместе с калоприемником (уроприемником) или отдельно. Изделие должно находиться в индивидуальной упаковке.</w:t>
            </w:r>
          </w:p>
        </w:tc>
        <w:tc>
          <w:tcPr>
            <w:tcW w:w="1279" w:type="dxa"/>
          </w:tcPr>
          <w:p w:rsidR="00A375AF" w:rsidRDefault="00A375AF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190,67</w:t>
            </w:r>
          </w:p>
        </w:tc>
      </w:tr>
      <w:tr w:rsidR="00A375AF" w:rsidRPr="005B2013" w:rsidTr="00411330">
        <w:trPr>
          <w:trHeight w:val="70"/>
        </w:trPr>
        <w:tc>
          <w:tcPr>
            <w:tcW w:w="8355" w:type="dxa"/>
            <w:gridSpan w:val="4"/>
          </w:tcPr>
          <w:p w:rsidR="00A375AF" w:rsidRPr="005B2013" w:rsidRDefault="00A375AF" w:rsidP="00A375AF">
            <w:pPr>
              <w:suppressAutoHyphens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5B2013">
              <w:rPr>
                <w:b/>
                <w:bCs/>
                <w:sz w:val="22"/>
                <w:szCs w:val="22"/>
                <w:lang w:eastAsia="ru-RU"/>
              </w:rPr>
              <w:t>Начальная сумма цен единиц товара</w:t>
            </w:r>
          </w:p>
        </w:tc>
        <w:tc>
          <w:tcPr>
            <w:tcW w:w="1279" w:type="dxa"/>
          </w:tcPr>
          <w:p w:rsidR="00A375AF" w:rsidRPr="005B2013" w:rsidRDefault="00BE5BDC" w:rsidP="00CA0EAC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A0EA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CA0EAC">
              <w:rPr>
                <w:b/>
                <w:bCs/>
                <w:sz w:val="22"/>
                <w:szCs w:val="22"/>
              </w:rPr>
              <w:t>72,9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411330" w:rsidRDefault="00411330" w:rsidP="00BD24B8">
      <w:pPr>
        <w:spacing w:line="240" w:lineRule="auto"/>
        <w:rPr>
          <w:rFonts w:eastAsia="Times New Roman CYR"/>
          <w:b/>
          <w:bCs/>
          <w:sz w:val="26"/>
          <w:szCs w:val="26"/>
        </w:rPr>
      </w:pPr>
    </w:p>
    <w:p w:rsidR="002449DE" w:rsidRPr="00396D96" w:rsidRDefault="002449DE" w:rsidP="003C0120">
      <w:pPr>
        <w:spacing w:line="240" w:lineRule="auto"/>
        <w:rPr>
          <w:rFonts w:eastAsia="Times New Roman CYR"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 xml:space="preserve">Количество поставляемого товара: </w:t>
      </w:r>
      <w:r>
        <w:rPr>
          <w:rFonts w:eastAsia="Times New Roman CYR"/>
          <w:bCs/>
          <w:sz w:val="26"/>
          <w:szCs w:val="26"/>
        </w:rPr>
        <w:t>определить невозможно.</w:t>
      </w:r>
    </w:p>
    <w:p w:rsidR="002449DE" w:rsidRPr="00841410" w:rsidRDefault="002449DE" w:rsidP="003C0120">
      <w:pPr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  <w:r w:rsidRPr="00334293">
        <w:rPr>
          <w:sz w:val="26"/>
          <w:szCs w:val="26"/>
          <w:lang w:eastAsia="ru-RU"/>
        </w:rPr>
        <w:t xml:space="preserve">Оплата </w:t>
      </w:r>
      <w:r>
        <w:rPr>
          <w:sz w:val="26"/>
          <w:szCs w:val="26"/>
          <w:lang w:eastAsia="ru-RU"/>
        </w:rPr>
        <w:t>поставленного товара</w:t>
      </w:r>
      <w:r w:rsidRPr="00334293">
        <w:rPr>
          <w:sz w:val="26"/>
          <w:szCs w:val="26"/>
          <w:lang w:eastAsia="ru-RU"/>
        </w:rPr>
        <w:t xml:space="preserve"> будет осуществляться по цене единицы </w:t>
      </w:r>
      <w:r>
        <w:rPr>
          <w:sz w:val="26"/>
          <w:szCs w:val="26"/>
          <w:lang w:eastAsia="ru-RU"/>
        </w:rPr>
        <w:t>товара</w:t>
      </w:r>
      <w:r w:rsidRPr="00334293">
        <w:rPr>
          <w:sz w:val="26"/>
          <w:szCs w:val="26"/>
          <w:lang w:eastAsia="ru-RU"/>
        </w:rPr>
        <w:t xml:space="preserve"> исходя из объема фактически </w:t>
      </w:r>
      <w:r>
        <w:rPr>
          <w:sz w:val="26"/>
          <w:szCs w:val="26"/>
          <w:lang w:eastAsia="ru-RU"/>
        </w:rPr>
        <w:t>поставленных товаров</w:t>
      </w:r>
      <w:r w:rsidRPr="00334293">
        <w:rPr>
          <w:sz w:val="26"/>
          <w:szCs w:val="26"/>
          <w:lang w:eastAsia="ru-RU"/>
        </w:rPr>
        <w:t xml:space="preserve">, но в </w:t>
      </w:r>
      <w:bookmarkStart w:id="0" w:name="_GoBack"/>
      <w:bookmarkEnd w:id="0"/>
      <w:r w:rsidRPr="00334293">
        <w:rPr>
          <w:sz w:val="26"/>
          <w:szCs w:val="26"/>
          <w:lang w:eastAsia="ru-RU"/>
        </w:rPr>
        <w:t>размере, не превышающем максимального значения цены контракта.</w:t>
      </w:r>
    </w:p>
    <w:p w:rsidR="002449DE" w:rsidRPr="00927B4F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927B4F">
        <w:rPr>
          <w:rFonts w:eastAsia="Times New Roman CYR"/>
          <w:bCs/>
          <w:sz w:val="26"/>
          <w:szCs w:val="26"/>
        </w:rPr>
        <w:t xml:space="preserve"> </w:t>
      </w:r>
      <w:r w:rsidRPr="00927B4F">
        <w:rPr>
          <w:color w:val="000000"/>
          <w:spacing w:val="-6"/>
          <w:sz w:val="26"/>
          <w:szCs w:val="26"/>
        </w:rPr>
        <w:t xml:space="preserve">сырье и материалы для </w:t>
      </w:r>
      <w:r w:rsidRPr="00915E5B">
        <w:rPr>
          <w:spacing w:val="-6"/>
          <w:sz w:val="26"/>
          <w:szCs w:val="26"/>
        </w:rPr>
        <w:t xml:space="preserve">производства </w:t>
      </w:r>
      <w:r w:rsidRPr="00927B4F">
        <w:rPr>
          <w:color w:val="000000"/>
          <w:spacing w:val="-6"/>
          <w:sz w:val="26"/>
          <w:szCs w:val="26"/>
        </w:rPr>
        <w:t>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449DE" w:rsidRDefault="002449DE" w:rsidP="003C0120">
      <w:pPr>
        <w:tabs>
          <w:tab w:val="left" w:pos="0"/>
          <w:tab w:val="left" w:pos="480"/>
          <w:tab w:val="left" w:pos="1134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2449DE">
        <w:rPr>
          <w:color w:val="000000"/>
          <w:spacing w:val="-6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449DE">
        <w:rPr>
          <w:color w:val="000000"/>
          <w:spacing w:val="-6"/>
          <w:sz w:val="26"/>
          <w:szCs w:val="26"/>
        </w:rPr>
        <w:t>цитотоксичность</w:t>
      </w:r>
      <w:proofErr w:type="spellEnd"/>
      <w:r w:rsidRPr="002449DE">
        <w:rPr>
          <w:color w:val="000000"/>
          <w:spacing w:val="-6"/>
          <w:sz w:val="26"/>
          <w:szCs w:val="26"/>
        </w:rPr>
        <w:t xml:space="preserve">: методы </w:t>
      </w:r>
      <w:proofErr w:type="spellStart"/>
      <w:r w:rsidRPr="002449DE">
        <w:rPr>
          <w:color w:val="000000"/>
          <w:spacing w:val="-6"/>
          <w:sz w:val="26"/>
          <w:szCs w:val="26"/>
        </w:rPr>
        <w:t>in</w:t>
      </w:r>
      <w:proofErr w:type="spellEnd"/>
      <w:r w:rsidRPr="002449DE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2449DE">
        <w:rPr>
          <w:color w:val="000000"/>
          <w:spacing w:val="-6"/>
          <w:sz w:val="26"/>
          <w:szCs w:val="26"/>
        </w:rPr>
        <w:t>vitro</w:t>
      </w:r>
      <w:proofErr w:type="spellEnd"/>
      <w:r w:rsidRPr="002449DE">
        <w:rPr>
          <w:color w:val="000000"/>
          <w:spacing w:val="-6"/>
          <w:sz w:val="26"/>
          <w:szCs w:val="26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ГОСТ Р 58235-2018 «Специальные средства при нарушении функции выделения. Термины и определения. Классификация».</w:t>
      </w:r>
    </w:p>
    <w:p w:rsidR="002449DE" w:rsidRPr="00927B4F" w:rsidRDefault="002449DE" w:rsidP="003C0120">
      <w:pPr>
        <w:tabs>
          <w:tab w:val="left" w:pos="0"/>
          <w:tab w:val="left" w:pos="480"/>
          <w:tab w:val="left" w:pos="1134"/>
        </w:tabs>
        <w:snapToGrid/>
        <w:spacing w:line="240" w:lineRule="auto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t xml:space="preserve">Все поставляемые специальные средства при нарушениях функций выделения должны иметь действующие регистрационные удостоверения, выданные федеральной </w:t>
      </w:r>
      <w:r w:rsidRPr="00927B4F">
        <w:rPr>
          <w:spacing w:val="-1"/>
          <w:sz w:val="26"/>
          <w:szCs w:val="26"/>
        </w:rPr>
        <w:lastRenderedPageBreak/>
        <w:t xml:space="preserve">службой по надзору в сфере здравоохранения и социального развития. </w:t>
      </w:r>
    </w:p>
    <w:p w:rsidR="002449DE" w:rsidRPr="00927B4F" w:rsidRDefault="002449DE" w:rsidP="003C0120">
      <w:pPr>
        <w:tabs>
          <w:tab w:val="left" w:pos="0"/>
        </w:tabs>
        <w:snapToGrid/>
        <w:spacing w:line="240" w:lineRule="auto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t>Поставщик, с которым будет заключен контракт, в течение 5 (пяти) календарных дней с момента подписания контракта обязан предоставить Заказчику следующие документы:</w:t>
      </w:r>
    </w:p>
    <w:p w:rsidR="002449DE" w:rsidRPr="00927B4F" w:rsidRDefault="002449DE" w:rsidP="003C0120">
      <w:pPr>
        <w:widowControl/>
        <w:tabs>
          <w:tab w:val="left" w:pos="0"/>
          <w:tab w:val="left" w:pos="709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-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6 мая 2019 года N 3371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изделий».</w:t>
      </w:r>
    </w:p>
    <w:p w:rsidR="002449DE" w:rsidRPr="00927B4F" w:rsidRDefault="002449DE" w:rsidP="003C0120">
      <w:pPr>
        <w:tabs>
          <w:tab w:val="left" w:pos="0"/>
        </w:tabs>
        <w:snapToGrid/>
        <w:spacing w:line="240" w:lineRule="auto"/>
        <w:rPr>
          <w:sz w:val="26"/>
          <w:szCs w:val="26"/>
        </w:rPr>
      </w:pPr>
      <w:r w:rsidRPr="00927B4F">
        <w:rPr>
          <w:sz w:val="26"/>
          <w:szCs w:val="26"/>
        </w:rPr>
        <w:t xml:space="preserve">При поставке товара наличие </w:t>
      </w:r>
      <w:r w:rsidRPr="00927B4F">
        <w:rPr>
          <w:color w:val="000000"/>
          <w:spacing w:val="-6"/>
          <w:sz w:val="26"/>
          <w:szCs w:val="26"/>
        </w:rPr>
        <w:t xml:space="preserve">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 Федерации от 01.12.2009 № 982) </w:t>
      </w:r>
      <w:r w:rsidRPr="00927B4F">
        <w:rPr>
          <w:sz w:val="26"/>
          <w:szCs w:val="26"/>
        </w:rPr>
        <w:t>или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2449DE" w:rsidRPr="00927B4F" w:rsidRDefault="002449DE" w:rsidP="003C0120">
      <w:pPr>
        <w:widowControl/>
        <w:tabs>
          <w:tab w:val="left" w:pos="0"/>
          <w:tab w:val="left" w:pos="709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восстановление потребительских свойств).</w:t>
      </w:r>
    </w:p>
    <w:p w:rsidR="002449DE" w:rsidRPr="006851ED" w:rsidRDefault="002449DE" w:rsidP="003C0120">
      <w:pPr>
        <w:widowControl/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b/>
          <w:sz w:val="26"/>
          <w:szCs w:val="26"/>
        </w:rPr>
        <w:t xml:space="preserve">Требования к маркировке, упаковке товара: </w:t>
      </w:r>
      <w:r w:rsidRPr="00927B4F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Маркировка и упаковка в соответствии с ГОСТ Р 50460-92 должна включать: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страну-изготовителя;</w:t>
      </w:r>
      <w:r>
        <w:rPr>
          <w:color w:val="000000"/>
          <w:spacing w:val="-6"/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наименование предприятия-изготовителя, юридический адрес, товарный знак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отличительные характеристики изделий в соответствии с их техническим исполнением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номер артикула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количество изделий в упаковке;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дату (месяц, год) изготовления или гарантийный срок годности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правила пользования (при необходимости);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штриховой код изделия (при наличии).</w:t>
      </w:r>
    </w:p>
    <w:p w:rsidR="002449DE" w:rsidRPr="006851ED" w:rsidRDefault="002449DE" w:rsidP="003C0120">
      <w:pPr>
        <w:widowControl/>
        <w:snapToGrid/>
        <w:spacing w:line="240" w:lineRule="auto"/>
        <w:rPr>
          <w:rFonts w:eastAsia="Times New Roman CYR"/>
          <w:spacing w:val="-3"/>
          <w:sz w:val="26"/>
          <w:szCs w:val="26"/>
        </w:rPr>
      </w:pPr>
      <w:r w:rsidRPr="006851ED">
        <w:rPr>
          <w:rFonts w:eastAsia="Times New Roman CYR"/>
          <w:spacing w:val="-3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b/>
          <w:bCs/>
          <w:color w:val="000000"/>
          <w:spacing w:val="-6"/>
          <w:sz w:val="26"/>
          <w:szCs w:val="26"/>
        </w:rPr>
        <w:t xml:space="preserve">Требования к </w:t>
      </w:r>
      <w:r>
        <w:rPr>
          <w:b/>
          <w:bCs/>
          <w:color w:val="000000"/>
          <w:spacing w:val="-6"/>
          <w:sz w:val="26"/>
          <w:szCs w:val="26"/>
        </w:rPr>
        <w:t xml:space="preserve">остаточному </w:t>
      </w:r>
      <w:r w:rsidRPr="006851ED">
        <w:rPr>
          <w:b/>
          <w:bCs/>
          <w:color w:val="000000"/>
          <w:spacing w:val="-6"/>
          <w:sz w:val="26"/>
          <w:szCs w:val="26"/>
        </w:rPr>
        <w:t>сроку</w:t>
      </w:r>
      <w:r>
        <w:rPr>
          <w:b/>
          <w:bCs/>
          <w:color w:val="000000"/>
          <w:spacing w:val="-6"/>
          <w:sz w:val="26"/>
          <w:szCs w:val="26"/>
        </w:rPr>
        <w:t xml:space="preserve"> годности</w:t>
      </w:r>
      <w:r w:rsidRPr="006851ED">
        <w:rPr>
          <w:b/>
          <w:bCs/>
          <w:color w:val="000000"/>
          <w:spacing w:val="-6"/>
          <w:sz w:val="26"/>
          <w:szCs w:val="26"/>
        </w:rPr>
        <w:t xml:space="preserve"> товара:</w:t>
      </w:r>
      <w:r w:rsidRPr="006851ED">
        <w:rPr>
          <w:bCs/>
          <w:color w:val="000000"/>
          <w:spacing w:val="-6"/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В случае обнаружения в течение срока годности недостатков, Поставщик обязан принять от Получателя Товар ненадлежащего качества и заменить его в срок, установленный Законом РФ от 07.02.1992 г. № 2300-1 «О защите прав потребителей»</w:t>
      </w:r>
      <w:r w:rsidRPr="006851ED">
        <w:rPr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на Товар, соответствующий требованиям контракта.</w:t>
      </w:r>
    </w:p>
    <w:p w:rsidR="002449DE" w:rsidRPr="00855B05" w:rsidRDefault="002449DE" w:rsidP="003C0120">
      <w:pPr>
        <w:tabs>
          <w:tab w:val="left" w:pos="0"/>
        </w:tabs>
        <w:snapToGrid/>
        <w:spacing w:line="240" w:lineRule="auto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color w:val="000000"/>
          <w:kern w:val="1"/>
          <w:sz w:val="26"/>
          <w:szCs w:val="26"/>
        </w:rPr>
        <w:t xml:space="preserve">Место поставки товара: </w:t>
      </w:r>
      <w:r w:rsidRPr="00855B05">
        <w:rPr>
          <w:spacing w:val="-1"/>
          <w:kern w:val="1"/>
          <w:sz w:val="26"/>
          <w:szCs w:val="26"/>
        </w:rPr>
        <w:t xml:space="preserve">Поставка Товара осуществляется по направлениям </w:t>
      </w:r>
      <w:r w:rsidRPr="00855B05">
        <w:rPr>
          <w:spacing w:val="-1"/>
          <w:kern w:val="1"/>
          <w:sz w:val="26"/>
          <w:szCs w:val="26"/>
        </w:rPr>
        <w:lastRenderedPageBreak/>
        <w:t xml:space="preserve">Заказчика </w:t>
      </w:r>
      <w:r>
        <w:rPr>
          <w:spacing w:val="-1"/>
          <w:kern w:val="1"/>
          <w:sz w:val="26"/>
          <w:szCs w:val="26"/>
        </w:rPr>
        <w:t xml:space="preserve">до места проживания Получателей на территории </w:t>
      </w:r>
      <w:r w:rsidRPr="00855B05">
        <w:rPr>
          <w:spacing w:val="-1"/>
          <w:kern w:val="1"/>
          <w:sz w:val="26"/>
          <w:szCs w:val="26"/>
        </w:rPr>
        <w:t>Амурск</w:t>
      </w:r>
      <w:r>
        <w:rPr>
          <w:spacing w:val="-1"/>
          <w:kern w:val="1"/>
          <w:sz w:val="26"/>
          <w:szCs w:val="26"/>
        </w:rPr>
        <w:t>ой</w:t>
      </w:r>
      <w:r w:rsidRPr="00855B05">
        <w:rPr>
          <w:spacing w:val="-1"/>
          <w:kern w:val="1"/>
          <w:sz w:val="26"/>
          <w:szCs w:val="26"/>
        </w:rPr>
        <w:t xml:space="preserve"> област</w:t>
      </w:r>
      <w:r>
        <w:rPr>
          <w:spacing w:val="-1"/>
          <w:kern w:val="1"/>
          <w:sz w:val="26"/>
          <w:szCs w:val="26"/>
        </w:rPr>
        <w:t>и</w:t>
      </w:r>
      <w:r w:rsidRPr="00855B05">
        <w:rPr>
          <w:spacing w:val="-1"/>
          <w:kern w:val="1"/>
          <w:sz w:val="26"/>
          <w:szCs w:val="26"/>
        </w:rPr>
        <w:t xml:space="preserve"> Российской Федерации.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2449DE" w:rsidRPr="00110C0A" w:rsidRDefault="002449DE" w:rsidP="003C0120">
      <w:pPr>
        <w:spacing w:line="240" w:lineRule="auto"/>
        <w:contextualSpacing/>
        <w:rPr>
          <w:color w:val="000000"/>
          <w:spacing w:val="-6"/>
          <w:sz w:val="26"/>
          <w:szCs w:val="26"/>
        </w:rPr>
      </w:pPr>
      <w:r w:rsidRPr="00110C0A">
        <w:rPr>
          <w:color w:val="000000"/>
          <w:spacing w:val="-6"/>
          <w:sz w:val="26"/>
          <w:szCs w:val="26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30 (тридцати) календарных дней с момента получения Направления, выданного Заказчиком.</w:t>
      </w:r>
    </w:p>
    <w:p w:rsidR="002449DE" w:rsidRDefault="002449DE" w:rsidP="003C0120">
      <w:pPr>
        <w:spacing w:line="240" w:lineRule="auto"/>
        <w:contextualSpacing/>
        <w:rPr>
          <w:color w:val="000000"/>
          <w:spacing w:val="-6"/>
          <w:sz w:val="26"/>
          <w:szCs w:val="26"/>
        </w:rPr>
      </w:pPr>
      <w:r w:rsidRPr="00110C0A">
        <w:rPr>
          <w:b/>
          <w:color w:val="000000"/>
          <w:spacing w:val="-6"/>
          <w:sz w:val="26"/>
          <w:szCs w:val="26"/>
        </w:rPr>
        <w:t>Срок поставки товара:</w:t>
      </w:r>
      <w:r w:rsidRPr="00110C0A">
        <w:rPr>
          <w:color w:val="000000"/>
          <w:spacing w:val="-6"/>
          <w:sz w:val="26"/>
          <w:szCs w:val="26"/>
        </w:rPr>
        <w:t xml:space="preserve"> в рамках исполнения государственного контракта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в период с</w:t>
      </w:r>
      <w:r>
        <w:rPr>
          <w:color w:val="000000"/>
          <w:spacing w:val="-6"/>
          <w:sz w:val="26"/>
          <w:szCs w:val="26"/>
        </w:rPr>
        <w:t xml:space="preserve"> даты заключения контракта по 30</w:t>
      </w:r>
      <w:r w:rsidRPr="00110C0A">
        <w:rPr>
          <w:color w:val="000000"/>
          <w:spacing w:val="-6"/>
          <w:sz w:val="26"/>
          <w:szCs w:val="26"/>
        </w:rPr>
        <w:t>.</w:t>
      </w:r>
      <w:r>
        <w:rPr>
          <w:color w:val="000000"/>
          <w:spacing w:val="-6"/>
          <w:sz w:val="26"/>
          <w:szCs w:val="26"/>
        </w:rPr>
        <w:t>11</w:t>
      </w:r>
      <w:r w:rsidRPr="00110C0A">
        <w:rPr>
          <w:color w:val="000000"/>
          <w:spacing w:val="-6"/>
          <w:sz w:val="26"/>
          <w:szCs w:val="26"/>
        </w:rPr>
        <w:t>.202</w:t>
      </w:r>
      <w:r>
        <w:rPr>
          <w:color w:val="000000"/>
          <w:spacing w:val="-6"/>
          <w:sz w:val="26"/>
          <w:szCs w:val="26"/>
        </w:rPr>
        <w:t>1</w:t>
      </w:r>
      <w:r w:rsidRPr="00110C0A">
        <w:rPr>
          <w:color w:val="000000"/>
          <w:spacing w:val="-6"/>
          <w:sz w:val="26"/>
          <w:szCs w:val="26"/>
        </w:rPr>
        <w:t xml:space="preserve"> года. </w:t>
      </w:r>
    </w:p>
    <w:sectPr w:rsidR="002449DE" w:rsidSect="00AC353E">
      <w:headerReference w:type="even" r:id="rId10"/>
      <w:headerReference w:type="default" r:id="rId11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A66F3C" w:rsidRDefault="002449DE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2449DE" w:rsidRDefault="002449D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8C6895" w:rsidRDefault="002449DE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F90900">
      <w:rPr>
        <w:rFonts w:ascii="Times New Roman" w:hAnsi="Times New Roman"/>
        <w:noProof/>
      </w:rPr>
      <w:t>6</w:t>
    </w:r>
    <w:r w:rsidRPr="008C6895">
      <w:rPr>
        <w:rFonts w:ascii="Times New Roman" w:hAnsi="Times New Roman"/>
      </w:rPr>
      <w:fldChar w:fldCharType="end"/>
    </w:r>
  </w:p>
  <w:p w:rsidR="002449DE" w:rsidRDefault="002449D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Default="002449DE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8C6895" w:rsidRDefault="002449DE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CA0EAC">
      <w:rPr>
        <w:rStyle w:val="FontStyle71"/>
        <w:noProof/>
        <w:sz w:val="22"/>
        <w:szCs w:val="22"/>
      </w:rPr>
      <w:t>6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0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4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1"/>
    <w:rsid w:val="000270CF"/>
    <w:rsid w:val="00033F49"/>
    <w:rsid w:val="00053FA8"/>
    <w:rsid w:val="00080D6D"/>
    <w:rsid w:val="00096AF4"/>
    <w:rsid w:val="000A4E30"/>
    <w:rsid w:val="000B7481"/>
    <w:rsid w:val="000C0615"/>
    <w:rsid w:val="000D4DED"/>
    <w:rsid w:val="000E2687"/>
    <w:rsid w:val="000F45E7"/>
    <w:rsid w:val="00101070"/>
    <w:rsid w:val="00114DBE"/>
    <w:rsid w:val="00117350"/>
    <w:rsid w:val="0011758E"/>
    <w:rsid w:val="00143E30"/>
    <w:rsid w:val="0016189D"/>
    <w:rsid w:val="001711C3"/>
    <w:rsid w:val="00185DA1"/>
    <w:rsid w:val="001B25E9"/>
    <w:rsid w:val="001C1440"/>
    <w:rsid w:val="001E40FE"/>
    <w:rsid w:val="002054DC"/>
    <w:rsid w:val="002077D5"/>
    <w:rsid w:val="00223DAD"/>
    <w:rsid w:val="002449DE"/>
    <w:rsid w:val="002530BC"/>
    <w:rsid w:val="002539F8"/>
    <w:rsid w:val="0028123B"/>
    <w:rsid w:val="002A5B8D"/>
    <w:rsid w:val="002A71C1"/>
    <w:rsid w:val="0033615B"/>
    <w:rsid w:val="00350BD8"/>
    <w:rsid w:val="00352B44"/>
    <w:rsid w:val="00364416"/>
    <w:rsid w:val="00385D3A"/>
    <w:rsid w:val="00393498"/>
    <w:rsid w:val="003A2A1A"/>
    <w:rsid w:val="003A4579"/>
    <w:rsid w:val="003A62DF"/>
    <w:rsid w:val="003B54E0"/>
    <w:rsid w:val="003C0120"/>
    <w:rsid w:val="003D0B3F"/>
    <w:rsid w:val="003E057F"/>
    <w:rsid w:val="003E2FB7"/>
    <w:rsid w:val="003F5CDE"/>
    <w:rsid w:val="00404BC2"/>
    <w:rsid w:val="0040759B"/>
    <w:rsid w:val="00411330"/>
    <w:rsid w:val="004517A2"/>
    <w:rsid w:val="004A158A"/>
    <w:rsid w:val="004A62FB"/>
    <w:rsid w:val="004B0502"/>
    <w:rsid w:val="004B3432"/>
    <w:rsid w:val="00502643"/>
    <w:rsid w:val="00521407"/>
    <w:rsid w:val="00532404"/>
    <w:rsid w:val="00550E37"/>
    <w:rsid w:val="00556E12"/>
    <w:rsid w:val="00570F29"/>
    <w:rsid w:val="005A14AD"/>
    <w:rsid w:val="005B2013"/>
    <w:rsid w:val="005B7131"/>
    <w:rsid w:val="005D7152"/>
    <w:rsid w:val="005E01E9"/>
    <w:rsid w:val="005E38D5"/>
    <w:rsid w:val="006014D8"/>
    <w:rsid w:val="00640565"/>
    <w:rsid w:val="00642FB8"/>
    <w:rsid w:val="00653712"/>
    <w:rsid w:val="00666CC1"/>
    <w:rsid w:val="006C1D6A"/>
    <w:rsid w:val="006C3FA1"/>
    <w:rsid w:val="006C5474"/>
    <w:rsid w:val="006D1D4E"/>
    <w:rsid w:val="006E1422"/>
    <w:rsid w:val="0071315A"/>
    <w:rsid w:val="0071639F"/>
    <w:rsid w:val="00722A9D"/>
    <w:rsid w:val="00737E50"/>
    <w:rsid w:val="00742345"/>
    <w:rsid w:val="007479C9"/>
    <w:rsid w:val="00753BB7"/>
    <w:rsid w:val="00760482"/>
    <w:rsid w:val="007646FF"/>
    <w:rsid w:val="00766D93"/>
    <w:rsid w:val="007679A9"/>
    <w:rsid w:val="00777F0D"/>
    <w:rsid w:val="007871AA"/>
    <w:rsid w:val="00790CCD"/>
    <w:rsid w:val="0079243F"/>
    <w:rsid w:val="007B0C4B"/>
    <w:rsid w:val="007D638F"/>
    <w:rsid w:val="007E5433"/>
    <w:rsid w:val="00803EC2"/>
    <w:rsid w:val="00841A00"/>
    <w:rsid w:val="008461AA"/>
    <w:rsid w:val="008550E3"/>
    <w:rsid w:val="00870DB6"/>
    <w:rsid w:val="008C3D6B"/>
    <w:rsid w:val="008C6895"/>
    <w:rsid w:val="008D4F87"/>
    <w:rsid w:val="008F46A9"/>
    <w:rsid w:val="00904959"/>
    <w:rsid w:val="00910E7A"/>
    <w:rsid w:val="00953B62"/>
    <w:rsid w:val="00955E8F"/>
    <w:rsid w:val="009910B2"/>
    <w:rsid w:val="009A3FBC"/>
    <w:rsid w:val="009E349A"/>
    <w:rsid w:val="009F5875"/>
    <w:rsid w:val="009F7479"/>
    <w:rsid w:val="00A16E26"/>
    <w:rsid w:val="00A25326"/>
    <w:rsid w:val="00A34297"/>
    <w:rsid w:val="00A375AF"/>
    <w:rsid w:val="00A47280"/>
    <w:rsid w:val="00A56962"/>
    <w:rsid w:val="00A66F3C"/>
    <w:rsid w:val="00AC353E"/>
    <w:rsid w:val="00AD1DA5"/>
    <w:rsid w:val="00AD69A0"/>
    <w:rsid w:val="00AE1DD7"/>
    <w:rsid w:val="00AE220B"/>
    <w:rsid w:val="00B4499B"/>
    <w:rsid w:val="00B4714A"/>
    <w:rsid w:val="00B5275C"/>
    <w:rsid w:val="00B546A3"/>
    <w:rsid w:val="00B832CF"/>
    <w:rsid w:val="00B86234"/>
    <w:rsid w:val="00B91585"/>
    <w:rsid w:val="00BB389B"/>
    <w:rsid w:val="00BD24B8"/>
    <w:rsid w:val="00BE3D8A"/>
    <w:rsid w:val="00BE5BDC"/>
    <w:rsid w:val="00BF2F99"/>
    <w:rsid w:val="00C2241C"/>
    <w:rsid w:val="00C225C4"/>
    <w:rsid w:val="00C459A9"/>
    <w:rsid w:val="00C53B71"/>
    <w:rsid w:val="00C8605F"/>
    <w:rsid w:val="00CA0EAC"/>
    <w:rsid w:val="00CD42CC"/>
    <w:rsid w:val="00CD5A77"/>
    <w:rsid w:val="00CE4EE9"/>
    <w:rsid w:val="00D01CDE"/>
    <w:rsid w:val="00D04C68"/>
    <w:rsid w:val="00D05758"/>
    <w:rsid w:val="00D17784"/>
    <w:rsid w:val="00D2103E"/>
    <w:rsid w:val="00D450FE"/>
    <w:rsid w:val="00D45B76"/>
    <w:rsid w:val="00D621A4"/>
    <w:rsid w:val="00D71E2C"/>
    <w:rsid w:val="00D7438B"/>
    <w:rsid w:val="00D821FA"/>
    <w:rsid w:val="00DB15E5"/>
    <w:rsid w:val="00DD7949"/>
    <w:rsid w:val="00DE2A82"/>
    <w:rsid w:val="00E025E0"/>
    <w:rsid w:val="00E11AC0"/>
    <w:rsid w:val="00E63B09"/>
    <w:rsid w:val="00E727BC"/>
    <w:rsid w:val="00E75F83"/>
    <w:rsid w:val="00EB30DC"/>
    <w:rsid w:val="00EE3422"/>
    <w:rsid w:val="00F03011"/>
    <w:rsid w:val="00F06BF7"/>
    <w:rsid w:val="00F10A09"/>
    <w:rsid w:val="00F46F2D"/>
    <w:rsid w:val="00F54CD6"/>
    <w:rsid w:val="00F65584"/>
    <w:rsid w:val="00F83C83"/>
    <w:rsid w:val="00F90900"/>
    <w:rsid w:val="00F95301"/>
    <w:rsid w:val="00FC0AD9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Normal (Web)"/>
    <w:basedOn w:val="a"/>
    <w:uiPriority w:val="99"/>
    <w:unhideWhenUsed/>
    <w:rsid w:val="00D450FE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tandard">
    <w:name w:val="Standard"/>
    <w:rsid w:val="00DE2A82"/>
    <w:pPr>
      <w:suppressAutoHyphens/>
      <w:jc w:val="both"/>
    </w:pPr>
    <w:rPr>
      <w:rFonts w:hAnsi="Times New Roman"/>
      <w:kern w:val="2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502643"/>
    <w:pPr>
      <w:widowControl w:val="0"/>
      <w:suppressAutoHyphens/>
      <w:snapToGrid w:val="0"/>
      <w:ind w:firstLine="720"/>
      <w:jc w:val="both"/>
    </w:pPr>
    <w:rPr>
      <w:rFonts w:hAnsi="Times New Roman"/>
      <w:sz w:val="24"/>
      <w:lang w:eastAsia="ar-SA"/>
    </w:rPr>
  </w:style>
  <w:style w:type="table" w:customStyle="1" w:styleId="3">
    <w:name w:val="Сетка таблицы3"/>
    <w:basedOn w:val="a1"/>
    <w:next w:val="ab"/>
    <w:uiPriority w:val="39"/>
    <w:rsid w:val="005B20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B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A375AF"/>
    <w:rPr>
      <w:rFonts w:hAnsi="Times New Roman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49DE"/>
  </w:style>
  <w:style w:type="paragraph" w:customStyle="1" w:styleId="ConsPlusNonformat">
    <w:name w:val="ConsPlusNonformat"/>
    <w:rsid w:val="002449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49D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Title">
    <w:name w:val="ConsPlusTitle"/>
    <w:rsid w:val="002449DE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2449DE"/>
    <w:pPr>
      <w:spacing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449DE"/>
    <w:rPr>
      <w:rFonts w:hAnsi="Times New Roman"/>
      <w:lang w:eastAsia="ar-SA"/>
    </w:rPr>
  </w:style>
  <w:style w:type="character" w:styleId="ae">
    <w:name w:val="footnote reference"/>
    <w:basedOn w:val="a0"/>
    <w:uiPriority w:val="99"/>
    <w:semiHidden/>
    <w:unhideWhenUsed/>
    <w:rsid w:val="0024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565E-5C4F-4323-8A72-2326DF6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1933</Words>
  <Characters>13862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Щуковская Татьяна Владимировна</cp:lastModifiedBy>
  <cp:revision>31</cp:revision>
  <dcterms:created xsi:type="dcterms:W3CDTF">2021-06-29T07:04:00Z</dcterms:created>
  <dcterms:modified xsi:type="dcterms:W3CDTF">2021-09-20T08:08:00Z</dcterms:modified>
</cp:coreProperties>
</file>