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1D2797" w:rsidRDefault="004B0403" w:rsidP="001D2797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  <w:r w:rsidR="001D2797" w:rsidRPr="001D2797">
        <w:rPr>
          <w:b/>
          <w:caps/>
        </w:rPr>
        <w:t xml:space="preserve"> </w:t>
      </w:r>
    </w:p>
    <w:tbl>
      <w:tblPr>
        <w:tblW w:w="10445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694"/>
        <w:gridCol w:w="2268"/>
        <w:gridCol w:w="2150"/>
        <w:gridCol w:w="1418"/>
        <w:gridCol w:w="1399"/>
        <w:gridCol w:w="278"/>
      </w:tblGrid>
      <w:tr w:rsidR="00B5724A" w:rsidRPr="008E2D43" w:rsidTr="00B5724A">
        <w:trPr>
          <w:gridBefore w:val="1"/>
          <w:wBefore w:w="238" w:type="dxa"/>
          <w:trHeight w:val="27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A" w:rsidRPr="008E2D43" w:rsidRDefault="00B5724A" w:rsidP="0091670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5724A" w:rsidRPr="008E2D43" w:rsidTr="00B5724A">
        <w:trPr>
          <w:gridBefore w:val="1"/>
          <w:wBefore w:w="238" w:type="dxa"/>
          <w:trHeight w:val="27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A" w:rsidRPr="008E2D43" w:rsidRDefault="00B5724A" w:rsidP="0091670A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E2D43">
              <w:rPr>
                <w:b/>
                <w:bCs/>
                <w:sz w:val="22"/>
                <w:szCs w:val="22"/>
              </w:rPr>
              <w:t>Подгузники для взрослых (S, M, L, XL)</w:t>
            </w:r>
          </w:p>
          <w:p w:rsidR="00B5724A" w:rsidRPr="008E2D43" w:rsidRDefault="00B5724A" w:rsidP="0091670A">
            <w:pPr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E2D43">
              <w:rPr>
                <w:sz w:val="22"/>
                <w:szCs w:val="22"/>
                <w:lang w:eastAsia="en-US"/>
              </w:rPr>
      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инвалидов подгузниками для взрослых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том числе специальные, используемые для компенсации или устранения стойких ограничений жизнедеятельности инвалидов.</w:t>
            </w:r>
          </w:p>
          <w:p w:rsidR="00B5724A" w:rsidRPr="008E2D43" w:rsidRDefault="00B5724A" w:rsidP="0091670A">
            <w:pPr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Подгузники для взрослых должны обеспечивать соблюдение санитарно-гигиенических условий для инвалидов с нарушениями функций выделения.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 в виде раскроя трусов с фиксирующими элементами.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подгузниках не должно присутствовать ни механических повреждений</w:t>
            </w:r>
            <w:r w:rsidRPr="008E2D43">
              <w:rPr>
                <w:sz w:val="22"/>
                <w:szCs w:val="22"/>
                <w:lang w:eastAsia="en-US"/>
              </w:rPr>
              <w:t xml:space="preserve"> (разрывы края, разрезы и т</w:t>
            </w:r>
            <w:r>
              <w:rPr>
                <w:sz w:val="22"/>
                <w:szCs w:val="22"/>
                <w:lang w:eastAsia="en-US"/>
              </w:rPr>
              <w:t>.п.), ни пятен</w:t>
            </w:r>
            <w:r w:rsidRPr="008E2D43">
              <w:rPr>
                <w:sz w:val="22"/>
                <w:szCs w:val="22"/>
                <w:lang w:eastAsia="en-US"/>
              </w:rPr>
              <w:t xml:space="preserve"> различно</w:t>
            </w:r>
            <w:r>
              <w:rPr>
                <w:sz w:val="22"/>
                <w:szCs w:val="22"/>
                <w:lang w:eastAsia="en-US"/>
              </w:rPr>
              <w:t>го происхождения, ни посторонних включений, видимых невооруженным глазом, ни следов</w:t>
            </w:r>
            <w:r w:rsidRPr="008E2D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волокон с поверхности подгузников 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краски.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Печатное изображение на подгузниках должно быть четкое без искажений и пробелов.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Печатное изображение и само изделие не должны быть ярких цветов, которые могут просвечивать через одежду, поскольку </w:t>
            </w:r>
            <w:r w:rsidRPr="008E2D43">
              <w:rPr>
                <w:sz w:val="22"/>
                <w:szCs w:val="22"/>
              </w:rPr>
              <w:t>пациенты, страдающие недержанием, желают вести по возможности обычный образ жизни и не хотят чувствовать себя ограниченными в выборе одежды. Подгузник не должен издавать шуршащих звуков, которые могут услышать окружающие и понять, что человек носит абсорбирующие средства.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Верхний покровный слой подгузников должен  быть из нетканого материала, пропускающего жидкость внутрь подгузника и обеспечивающего сухость кожи, т.к. данный слой непосредственно соприкасается с кожей человека.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</w:t>
            </w:r>
            <w:r w:rsidRPr="008E2D43">
              <w:rPr>
                <w:spacing w:val="2"/>
                <w:sz w:val="22"/>
                <w:szCs w:val="22"/>
                <w:shd w:val="clear" w:color="auto" w:fill="FFFFFF"/>
              </w:rPr>
              <w:t>аспределительный слой, который расположен за верхним покровным слоем подгузника и способствует равномерному распределению жидкости внутри подгузника, должен быть изготовлен из нетканого материала.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proofErr w:type="gramStart"/>
            <w:r w:rsidRPr="008E2D43">
              <w:rPr>
                <w:sz w:val="22"/>
                <w:szCs w:val="22"/>
                <w:lang w:eastAsia="en-US"/>
              </w:rPr>
              <w:t xml:space="preserve">Подгузники должны иметь абсорбирующий слой, состоящий из не менее двух впитывающих слоев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суперабсорбента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на основе полимеров акриловой кислоты, способного к гелеобразованию под влиянием впитываемой жидкости  и обладающего  антибактериальными свойствами, поскольку сниженный рост микробов, особенно при низких уровнях рН, может привести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к снижению уровня запаха.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8E2D43">
              <w:rPr>
                <w:sz w:val="22"/>
                <w:szCs w:val="22"/>
              </w:rPr>
              <w:t xml:space="preserve">Защитный слой, который расположен непосредственно за абсорбирующим слоем подгузника и предотвращает проникновение жидкости наружу должен быть воздухопроницаемым по всей </w:t>
            </w:r>
            <w:proofErr w:type="gramStart"/>
            <w:r w:rsidRPr="008E2D43">
              <w:rPr>
                <w:sz w:val="22"/>
                <w:szCs w:val="22"/>
              </w:rPr>
              <w:t>поверхности</w:t>
            </w:r>
            <w:proofErr w:type="gramEnd"/>
            <w:r w:rsidRPr="008E2D43">
              <w:rPr>
                <w:sz w:val="22"/>
                <w:szCs w:val="22"/>
              </w:rPr>
              <w:t xml:space="preserve"> и изготовлен из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8E2D43">
              <w:rPr>
                <w:sz w:val="22"/>
                <w:szCs w:val="22"/>
              </w:rPr>
              <w:t>Роспотребнадзора</w:t>
            </w:r>
            <w:proofErr w:type="spellEnd"/>
            <w:r w:rsidRPr="008E2D43">
              <w:rPr>
                <w:sz w:val="22"/>
                <w:szCs w:val="22"/>
              </w:rPr>
              <w:t xml:space="preserve">) и обеспечивающих безопасность и функциональное назначение подгузников. 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      </w:r>
            <w:r w:rsidRPr="008E2D4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 и ГОСТ Р ИСО 15621-2012</w:t>
            </w:r>
            <w:r w:rsidRPr="008E2D43">
              <w:rPr>
                <w:sz w:val="22"/>
                <w:szCs w:val="22"/>
              </w:rPr>
              <w:t>. Упаковка должна содержать соответствующее обозначение воздухопроницаемой поверхности подгузника.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</w:rPr>
              <w:t>Нижний покровный слой 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      </w:r>
          </w:p>
          <w:p w:rsidR="00B5724A" w:rsidRPr="008E2D43" w:rsidRDefault="00B5724A" w:rsidP="0091670A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На талии сзади требуется наличие эластичного пояса, который должен обеспечивать плотное прилегание подгузника  к телу и препятствовать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подтеканию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жидкости вдоль спины. Подгузник должен быть оснащен четырьмя застежками, липучками или застежками-липучками, которые должны быть многократного использования (для возможности повторной установки изделия при первом использовании или после посещения туалета).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E2D43">
              <w:rPr>
                <w:sz w:val="22"/>
                <w:szCs w:val="22"/>
                <w:lang w:eastAsia="en-US"/>
              </w:rPr>
              <w:t xml:space="preserve">Для защиты от протекания жидкости на кожу человека по бокам подгузника необходимо наличие водонепроницаемых барьерных элементов (барьеры и боковые оборки выполнены в виде дуги через пах со стягивающими их резинками), которые должны быть из нетканого материала или других материалов с показателями качества, обеспечивающими изготовление </w:t>
            </w:r>
            <w:r w:rsidRPr="008E2D43">
              <w:rPr>
                <w:sz w:val="22"/>
                <w:szCs w:val="22"/>
                <w:lang w:eastAsia="en-US"/>
              </w:rPr>
              <w:lastRenderedPageBreak/>
              <w:t xml:space="preserve">подгузников в соответствии с требованиями 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 и ГОСТ Р ИСО 15621-2012. Подгузники должны иметь индикатор наполнения подгузника, который </w:t>
            </w:r>
            <w:r w:rsidRPr="008E2D43">
              <w:rPr>
                <w:color w:val="2D2D2D"/>
                <w:spacing w:val="2"/>
                <w:sz w:val="22"/>
                <w:szCs w:val="22"/>
              </w:rPr>
              <w:t>представляет собой с</w:t>
            </w:r>
            <w:r w:rsidRPr="008E2D43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игналы в виде цветных полос (или одной полосы) на нижнем покровном слое</w:t>
            </w:r>
            <w:r w:rsidRPr="008E2D43">
              <w:rPr>
                <w:sz w:val="22"/>
                <w:szCs w:val="22"/>
                <w:lang w:eastAsia="en-US"/>
              </w:rPr>
              <w:t>, фиксируя полное наполнение подгузника впитываемой жидкостью.</w:t>
            </w:r>
          </w:p>
          <w:p w:rsidR="00B5724A" w:rsidRPr="008E2D43" w:rsidRDefault="00B5724A" w:rsidP="0091670A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Швы, скрепляющие слои подгузников должны быть непрерывными.</w:t>
            </w:r>
          </w:p>
          <w:p w:rsidR="00B5724A" w:rsidRPr="008E2D43" w:rsidRDefault="00B5724A" w:rsidP="0091670A">
            <w:pPr>
              <w:ind w:firstLine="709"/>
              <w:jc w:val="both"/>
              <w:rPr>
                <w:sz w:val="22"/>
                <w:szCs w:val="22"/>
              </w:rPr>
            </w:pPr>
            <w:r w:rsidRPr="008E2D43">
              <w:rPr>
                <w:sz w:val="22"/>
                <w:szCs w:val="22"/>
              </w:rPr>
              <w:t>П</w:t>
            </w:r>
            <w:r w:rsidRPr="008E2D43">
              <w:rPr>
                <w:sz w:val="22"/>
                <w:szCs w:val="22"/>
                <w:lang w:eastAsia="en-US"/>
              </w:rPr>
              <w:t xml:space="preserve">одгузники должны быть упакованы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 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 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B5724A" w:rsidRPr="008E2D43" w:rsidRDefault="00B5724A" w:rsidP="0091670A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      </w:r>
            <w:r w:rsidRPr="008E2D43">
              <w:rPr>
                <w:sz w:val="22"/>
                <w:szCs w:val="22"/>
              </w:rPr>
              <w:t xml:space="preserve"> также от воздействия механических и климатических факторов во время транспортирования и хранения ТСР.</w:t>
            </w:r>
          </w:p>
          <w:p w:rsidR="00B5724A" w:rsidRPr="008E2D43" w:rsidRDefault="00B5724A" w:rsidP="0091670A">
            <w:pPr>
              <w:tabs>
                <w:tab w:val="left" w:pos="708"/>
              </w:tabs>
              <w:autoSpaceDE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Требования к безопасности изделий регламентируются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цитотоксичность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: методы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invitro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  <w:r w:rsidR="001351DB">
              <w:rPr>
                <w:sz w:val="22"/>
                <w:szCs w:val="22"/>
                <w:lang w:eastAsia="en-US"/>
              </w:rPr>
              <w:t>.</w:t>
            </w:r>
          </w:p>
          <w:p w:rsidR="00B5724A" w:rsidRPr="008E2D43" w:rsidRDefault="00B5724A" w:rsidP="0091670A">
            <w:pPr>
              <w:tabs>
                <w:tab w:val="left" w:pos="708"/>
              </w:tabs>
              <w:autoSpaceDE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При поставке партии подгузников Поставщиком должны быть предоставлены:  утвержденные </w:t>
            </w:r>
            <w:proofErr w:type="gramStart"/>
            <w:r>
              <w:rPr>
                <w:sz w:val="22"/>
                <w:szCs w:val="22"/>
                <w:lang w:eastAsia="en-US"/>
              </w:rPr>
              <w:t>образцы-эталонов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ГОСТ 15.009-91</w:t>
            </w:r>
            <w:r w:rsidRPr="008E2D43">
              <w:rPr>
                <w:sz w:val="22"/>
                <w:szCs w:val="22"/>
                <w:lang w:eastAsia="en-US"/>
              </w:rPr>
              <w:t xml:space="preserve"> на каждый вид и партию подгузников (при наличии), технические условия на выпускаемую продукцию (при наличии), наличие</w:t>
            </w:r>
            <w:r>
              <w:rPr>
                <w:sz w:val="22"/>
                <w:szCs w:val="22"/>
                <w:lang w:eastAsia="en-US"/>
              </w:rPr>
              <w:t xml:space="preserve"> регистрационного удостоверения или </w:t>
            </w:r>
            <w:r w:rsidRPr="008E2D43">
              <w:rPr>
                <w:sz w:val="22"/>
                <w:szCs w:val="22"/>
                <w:lang w:eastAsia="en-US"/>
              </w:rPr>
              <w:t xml:space="preserve"> сертификата соответствия системы Госстандарт РФ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8E2D43">
              <w:rPr>
                <w:sz w:val="22"/>
                <w:szCs w:val="22"/>
                <w:lang w:eastAsia="en-US"/>
              </w:rPr>
              <w:t xml:space="preserve"> или декларации о соответствии обязательно. 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Техническое задание разработано согласно имеющейся потребности инвалидов с учетом программ индивидуальной реабилитации или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инвалида, </w:t>
            </w:r>
            <w:r w:rsidRPr="008E2D43">
              <w:rPr>
                <w:sz w:val="22"/>
                <w:szCs w:val="22"/>
              </w:rPr>
              <w:t xml:space="preserve">разработанных </w:t>
            </w:r>
            <w:r w:rsidRPr="008E2D43">
              <w:rPr>
                <w:sz w:val="22"/>
                <w:szCs w:val="22"/>
                <w:lang w:eastAsia="en-US"/>
              </w:rPr>
              <w:t xml:space="preserve">федеральными учреждениями медико-социальной экспертизы, с учетом </w:t>
            </w:r>
            <w:r w:rsidRPr="008E2D43">
              <w:rPr>
                <w:sz w:val="22"/>
                <w:szCs w:val="22"/>
              </w:rPr>
              <w:t>антропометрических особенностей инвалидов,</w:t>
            </w:r>
            <w:r w:rsidRPr="008E2D43">
              <w:rPr>
                <w:sz w:val="22"/>
                <w:szCs w:val="22"/>
                <w:lang w:eastAsia="en-US"/>
              </w:rPr>
              <w:t xml:space="preserve"> Приказа </w:t>
            </w:r>
            <w:r w:rsidRPr="008E2D43">
              <w:rPr>
                <w:sz w:val="22"/>
                <w:szCs w:val="22"/>
              </w:rPr>
              <w:t>Министерства труда и социальной защиты Российской Федерации от 13.02.2018 № 86н</w:t>
            </w:r>
            <w:r w:rsidRPr="008E2D43">
              <w:rPr>
                <w:sz w:val="22"/>
                <w:szCs w:val="22"/>
                <w:lang w:eastAsia="en-US"/>
              </w:rPr>
              <w:t xml:space="preserve">, требований к подгузникам по 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ИСО 15621-2012 и ГОСТ Р 55082-2012.</w:t>
            </w:r>
          </w:p>
          <w:p w:rsidR="00B5724A" w:rsidRPr="008E2D43" w:rsidRDefault="00B5724A" w:rsidP="0091670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Подгузники должны соответствовать требованиям 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55082-2012, ГОСТ Р ИСО 15621-2012.</w:t>
            </w:r>
          </w:p>
          <w:p w:rsidR="00B5724A" w:rsidRPr="008E2D43" w:rsidRDefault="00B5724A" w:rsidP="0091670A">
            <w:pPr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8E2D43">
              <w:rPr>
                <w:sz w:val="22"/>
                <w:szCs w:val="22"/>
                <w:lang w:eastAsia="en-US"/>
              </w:rPr>
              <w:t>Остаточный срок годности на момент поставки должен быть не менее 1 года</w:t>
            </w:r>
            <w:r w:rsidRPr="008E2D43">
              <w:rPr>
                <w:sz w:val="22"/>
                <w:szCs w:val="22"/>
              </w:rPr>
              <w:t xml:space="preserve"> от даты, указанной производителем на упаковке.</w:t>
            </w:r>
          </w:p>
          <w:p w:rsidR="00B5724A" w:rsidRPr="008E2D43" w:rsidRDefault="00B5724A" w:rsidP="0091670A">
            <w:pPr>
              <w:ind w:firstLine="709"/>
              <w:jc w:val="both"/>
              <w:rPr>
                <w:color w:val="2D2D2D"/>
                <w:spacing w:val="2"/>
                <w:sz w:val="22"/>
                <w:szCs w:val="22"/>
              </w:rPr>
            </w:pPr>
            <w:proofErr w:type="gramStart"/>
            <w:r w:rsidRPr="008E2D43">
              <w:rPr>
                <w:color w:val="2D2D2D"/>
                <w:spacing w:val="2"/>
                <w:sz w:val="22"/>
                <w:szCs w:val="22"/>
              </w:rPr>
              <w:t>Конструкцию, линейные размеры подгузников (включая обхват талии/бедер, с учетом размерных признаков женских и мужских фигур по </w:t>
            </w:r>
            <w:r w:rsidRPr="00662921">
              <w:rPr>
                <w:sz w:val="22"/>
                <w:szCs w:val="22"/>
              </w:rPr>
              <w:t>ГОСТ 31396-2009</w:t>
            </w:r>
            <w:r w:rsidRPr="008E2D43">
              <w:rPr>
                <w:color w:val="2D2D2D"/>
                <w:spacing w:val="2"/>
                <w:sz w:val="22"/>
                <w:szCs w:val="22"/>
              </w:rPr>
              <w:t> и </w:t>
            </w:r>
            <w:r w:rsidRPr="00662921">
              <w:rPr>
                <w:sz w:val="22"/>
                <w:szCs w:val="22"/>
              </w:rPr>
              <w:t>ГОСТ 31399-2009</w:t>
            </w:r>
            <w:r w:rsidRPr="008E2D43">
              <w:rPr>
                <w:color w:val="2D2D2D"/>
                <w:spacing w:val="2"/>
                <w:sz w:val="22"/>
                <w:szCs w:val="22"/>
              </w:rPr>
              <w:t>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</w:t>
            </w:r>
            <w:proofErr w:type="gramEnd"/>
            <w:r w:rsidRPr="008E2D43">
              <w:rPr>
                <w:color w:val="2D2D2D"/>
                <w:spacing w:val="2"/>
                <w:sz w:val="22"/>
                <w:szCs w:val="22"/>
              </w:rPr>
              <w:t xml:space="preserve"> указывают в технической документации на конкретные подгузники или группу подгузников.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наименование страны-изготовителя;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-наименование и местонахождение изготовителя (продавца, поставщика), товарный знак (при наличии);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информацию о наличии специальных ингредиентов;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 xml:space="preserve">- отличительные характеристики подгузника в соответствии с </w:t>
            </w:r>
            <w:proofErr w:type="gramStart"/>
            <w:r w:rsidRPr="008E2D43">
              <w:rPr>
                <w:color w:val="2D2D2D"/>
                <w:spacing w:val="2"/>
                <w:sz w:val="22"/>
                <w:szCs w:val="22"/>
              </w:rPr>
              <w:t>техническим исполнением</w:t>
            </w:r>
            <w:proofErr w:type="gramEnd"/>
            <w:r w:rsidRPr="008E2D43">
              <w:rPr>
                <w:color w:val="2D2D2D"/>
                <w:spacing w:val="2"/>
                <w:sz w:val="22"/>
                <w:szCs w:val="22"/>
              </w:rPr>
              <w:t xml:space="preserve"> (в </w:t>
            </w:r>
            <w:r w:rsidRPr="008E2D43">
              <w:rPr>
                <w:color w:val="2D2D2D"/>
                <w:spacing w:val="2"/>
                <w:sz w:val="22"/>
                <w:szCs w:val="22"/>
              </w:rPr>
              <w:lastRenderedPageBreak/>
              <w:t>виде рисунков и/или текста);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номер артикула (при наличии);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количество подгузников в упаковке;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дату (месяц, год) изготовления;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срок годности, устанавливаемый изготовителем;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обозначение настоящего стандарта;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штриховой код (при наличии);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другие сведения, графические символы и рисунки, поясняющие потребительские свойства подгузников и их применение;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 xml:space="preserve">- информацию о специальных свойствах подгузника (при их наличии), например, «защищает кожу от раздражения», «поглощает запах» и т.п. в соответствии с </w:t>
            </w:r>
            <w:bookmarkStart w:id="0" w:name="_GoBack"/>
            <w:r w:rsidRPr="008E2D4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</w:t>
            </w:r>
            <w:bookmarkEnd w:id="0"/>
            <w:r w:rsidRPr="008E2D43">
              <w:rPr>
                <w:sz w:val="22"/>
                <w:szCs w:val="22"/>
                <w:lang w:eastAsia="en-US"/>
              </w:rPr>
              <w:t>, с соответствующим документальным подтверждением.</w:t>
            </w:r>
          </w:p>
          <w:p w:rsidR="00B5724A" w:rsidRPr="008E2D43" w:rsidRDefault="00B5724A" w:rsidP="0091670A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Основная информация о подгузнике (товарная марка, обозначение группы, дата изготовления или лот и др.) должна быть нанесена на нижний покровный слой, а при его отсутствии - на защитный слой подгузника.</w:t>
            </w:r>
          </w:p>
          <w:p w:rsidR="00B5724A" w:rsidRDefault="00B5724A" w:rsidP="0091670A">
            <w:pPr>
              <w:spacing w:line="259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Объем предоставления гарантии качества товара: распространяется на весь объем поставляемого товара.</w:t>
            </w:r>
          </w:p>
          <w:p w:rsidR="00B5724A" w:rsidRPr="00D8408A" w:rsidRDefault="00B5724A" w:rsidP="0091670A">
            <w:pPr>
              <w:ind w:firstLine="743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D8408A">
              <w:rPr>
                <w:rFonts w:eastAsia="Calibri"/>
                <w:iCs/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B5724A" w:rsidRPr="00D8408A" w:rsidRDefault="00B5724A" w:rsidP="0091670A">
            <w:pPr>
              <w:ind w:firstLine="743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D8408A">
              <w:rPr>
                <w:rFonts w:eastAsia="Calibri"/>
                <w:iCs/>
                <w:sz w:val="22"/>
                <w:szCs w:val="22"/>
              </w:rPr>
      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B5724A" w:rsidRPr="00D8408A" w:rsidRDefault="00B5724A" w:rsidP="0091670A">
            <w:pPr>
              <w:ind w:firstLine="743"/>
              <w:jc w:val="both"/>
              <w:rPr>
                <w:rFonts w:eastAsia="Calibri"/>
                <w:iCs/>
                <w:sz w:val="22"/>
                <w:szCs w:val="22"/>
              </w:rPr>
            </w:pPr>
            <w:proofErr w:type="gramStart"/>
            <w:r w:rsidRPr="00D8408A">
              <w:rPr>
                <w:rFonts w:eastAsia="Calibri"/>
                <w:iCs/>
                <w:sz w:val="22"/>
                <w:szCs w:val="22"/>
              </w:rPr>
              <w:t>- 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B5724A" w:rsidRPr="00D8408A" w:rsidRDefault="00B5724A" w:rsidP="0091670A">
            <w:pPr>
              <w:ind w:firstLine="743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D8408A">
              <w:rPr>
                <w:rFonts w:eastAsia="Calibri"/>
                <w:iCs/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B5724A" w:rsidRPr="00D8408A" w:rsidRDefault="00B5724A" w:rsidP="0091670A">
            <w:pPr>
              <w:ind w:firstLine="743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D8408A"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B5724A" w:rsidRPr="008E2D43" w:rsidRDefault="00B5724A" w:rsidP="0091670A">
            <w:pPr>
              <w:spacing w:line="259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08A">
              <w:rPr>
                <w:rFonts w:eastAsia="Calibri"/>
                <w:iCs/>
                <w:sz w:val="22"/>
                <w:szCs w:val="22"/>
              </w:rPr>
              <w:t xml:space="preserve">Срок поставки Товара: </w:t>
            </w:r>
            <w:proofErr w:type="gramStart"/>
            <w:r w:rsidRPr="00D8408A">
              <w:rPr>
                <w:rFonts w:eastAsia="Calibri"/>
                <w:iCs/>
                <w:sz w:val="22"/>
                <w:szCs w:val="22"/>
              </w:rPr>
              <w:t>с даты получения</w:t>
            </w:r>
            <w:proofErr w:type="gramEnd"/>
            <w:r w:rsidRPr="00D8408A">
              <w:rPr>
                <w:rFonts w:eastAsia="Calibri"/>
                <w:iCs/>
                <w:sz w:val="22"/>
                <w:szCs w:val="22"/>
              </w:rPr>
              <w:t xml:space="preserve"> от Заказчика р</w:t>
            </w:r>
            <w:r>
              <w:rPr>
                <w:rFonts w:eastAsia="Calibri"/>
                <w:iCs/>
                <w:sz w:val="22"/>
                <w:szCs w:val="22"/>
              </w:rPr>
              <w:t>еестра получателей Товара до «30» ноября</w:t>
            </w:r>
            <w:r w:rsidRPr="00D8408A">
              <w:rPr>
                <w:rFonts w:eastAsia="Calibri"/>
                <w:iCs/>
                <w:sz w:val="22"/>
                <w:szCs w:val="22"/>
              </w:rPr>
              <w:t xml:space="preserve"> 2021 года.</w:t>
            </w:r>
          </w:p>
        </w:tc>
      </w:tr>
      <w:tr w:rsidR="00B5724A" w:rsidRPr="00D8408A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343"/>
          <w:jc w:val="center"/>
        </w:trPr>
        <w:tc>
          <w:tcPr>
            <w:tcW w:w="2932" w:type="dxa"/>
            <w:gridSpan w:val="2"/>
            <w:vMerge w:val="restart"/>
            <w:noWrap/>
          </w:tcPr>
          <w:p w:rsidR="00B5724A" w:rsidRPr="00D8408A" w:rsidRDefault="00B5724A" w:rsidP="0091670A">
            <w:pPr>
              <w:jc w:val="center"/>
              <w:rPr>
                <w:rFonts w:eastAsia="Arial Unicode MS"/>
                <w:bCs/>
                <w:color w:val="000000"/>
                <w:lang w:val="en-US"/>
              </w:rPr>
            </w:pPr>
            <w:proofErr w:type="spellStart"/>
            <w:r w:rsidRPr="00D8408A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lastRenderedPageBreak/>
              <w:t>Наименование</w:t>
            </w:r>
            <w:proofErr w:type="spellEnd"/>
          </w:p>
        </w:tc>
        <w:tc>
          <w:tcPr>
            <w:tcW w:w="7235" w:type="dxa"/>
            <w:gridSpan w:val="4"/>
          </w:tcPr>
          <w:p w:rsidR="00B5724A" w:rsidRPr="00D8408A" w:rsidRDefault="00B5724A" w:rsidP="0091670A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D8408A">
              <w:rPr>
                <w:bCs/>
                <w:color w:val="000000"/>
                <w:sz w:val="22"/>
                <w:szCs w:val="22"/>
                <w:lang w:val="en-US"/>
              </w:rPr>
              <w:t>Характеристики</w:t>
            </w:r>
            <w:proofErr w:type="spellEnd"/>
          </w:p>
        </w:tc>
      </w:tr>
      <w:tr w:rsidR="00B5724A" w:rsidRPr="00D8408A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1199"/>
          <w:jc w:val="center"/>
        </w:trPr>
        <w:tc>
          <w:tcPr>
            <w:tcW w:w="2932" w:type="dxa"/>
            <w:gridSpan w:val="2"/>
            <w:vMerge/>
          </w:tcPr>
          <w:p w:rsidR="00B5724A" w:rsidRPr="00D8408A" w:rsidRDefault="00B5724A" w:rsidP="0091670A">
            <w:pPr>
              <w:rPr>
                <w:rFonts w:eastAsia="Arial Unicode MS"/>
                <w:bCs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B5724A" w:rsidRPr="00D8408A" w:rsidRDefault="00B5724A" w:rsidP="0091670A">
            <w:pPr>
              <w:ind w:left="-57" w:right="-57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Полное влагопоглощение, 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не менее</w:t>
            </w:r>
          </w:p>
        </w:tc>
        <w:tc>
          <w:tcPr>
            <w:tcW w:w="2150" w:type="dxa"/>
          </w:tcPr>
          <w:p w:rsidR="00B5724A" w:rsidRPr="00D8408A" w:rsidRDefault="00B5724A" w:rsidP="0091670A">
            <w:pPr>
              <w:ind w:left="-57" w:right="-57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С</w:t>
            </w: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>орбционная способность после центрифугирования,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не менее</w:t>
            </w:r>
          </w:p>
        </w:tc>
        <w:tc>
          <w:tcPr>
            <w:tcW w:w="1418" w:type="dxa"/>
          </w:tcPr>
          <w:p w:rsidR="00B5724A" w:rsidRDefault="00B5724A" w:rsidP="0091670A">
            <w:pPr>
              <w:ind w:left="-57" w:right="-57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9531D0">
              <w:rPr>
                <w:rFonts w:eastAsia="Arial Unicode MS"/>
                <w:bCs/>
                <w:color w:val="000000"/>
                <w:sz w:val="22"/>
                <w:szCs w:val="22"/>
              </w:rPr>
              <w:t>Обратная</w:t>
            </w: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9531D0">
              <w:rPr>
                <w:rFonts w:eastAsia="Arial Unicode MS"/>
                <w:bCs/>
                <w:color w:val="000000"/>
                <w:sz w:val="22"/>
                <w:szCs w:val="22"/>
              </w:rPr>
              <w:t>сорбция</w:t>
            </w: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9531D0">
              <w:rPr>
                <w:rFonts w:eastAsia="Arial Unicode MS"/>
                <w:bCs/>
                <w:color w:val="000000"/>
                <w:sz w:val="22"/>
                <w:szCs w:val="22"/>
              </w:rPr>
              <w:t>не</w:t>
            </w:r>
          </w:p>
          <w:p w:rsidR="00B5724A" w:rsidRPr="00D8408A" w:rsidRDefault="00B5724A" w:rsidP="0091670A">
            <w:pPr>
              <w:ind w:left="-57" w:right="-57"/>
              <w:rPr>
                <w:rFonts w:eastAsia="Arial Unicode MS"/>
                <w:bCs/>
                <w:color w:val="000000"/>
              </w:rPr>
            </w:pPr>
            <w:r w:rsidRPr="009531D0">
              <w:rPr>
                <w:rFonts w:eastAsia="Arial Unicode MS"/>
                <w:bCs/>
                <w:color w:val="000000"/>
                <w:sz w:val="22"/>
                <w:szCs w:val="22"/>
              </w:rPr>
              <w:t>более</w:t>
            </w:r>
          </w:p>
        </w:tc>
        <w:tc>
          <w:tcPr>
            <w:tcW w:w="1399" w:type="dxa"/>
          </w:tcPr>
          <w:p w:rsidR="00B5724A" w:rsidRPr="00D8408A" w:rsidRDefault="00B5724A" w:rsidP="0091670A">
            <w:pPr>
              <w:ind w:left="-57" w:right="-57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С</w:t>
            </w: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корость впитывания, </w:t>
            </w:r>
            <w:r w:rsidRPr="009531D0">
              <w:rPr>
                <w:rFonts w:eastAsia="Arial Unicode MS"/>
                <w:bCs/>
                <w:color w:val="000000"/>
                <w:sz w:val="22"/>
                <w:szCs w:val="22"/>
              </w:rPr>
              <w:t>см³/</w:t>
            </w:r>
            <w:proofErr w:type="gramStart"/>
            <w:r w:rsidRPr="009531D0">
              <w:rPr>
                <w:rFonts w:eastAsia="Arial Unicode MS"/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не менее</w:t>
            </w:r>
          </w:p>
        </w:tc>
      </w:tr>
      <w:tr w:rsidR="00B5724A" w:rsidRPr="00D8408A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237"/>
          <w:jc w:val="center"/>
        </w:trPr>
        <w:tc>
          <w:tcPr>
            <w:tcW w:w="10167" w:type="dxa"/>
            <w:gridSpan w:val="6"/>
          </w:tcPr>
          <w:p w:rsidR="00B5724A" w:rsidRPr="00D8408A" w:rsidRDefault="00B5724A" w:rsidP="0091670A">
            <w:pPr>
              <w:rPr>
                <w:rFonts w:eastAsia="Arial Unicode MS"/>
                <w:bCs/>
                <w:color w:val="000000"/>
              </w:rPr>
            </w:pPr>
            <w:r w:rsidRPr="00D8408A">
              <w:rPr>
                <w:rFonts w:eastAsia="Arial Unicode MS"/>
                <w:bCs/>
                <w:color w:val="000000"/>
                <w:sz w:val="22"/>
                <w:szCs w:val="22"/>
              </w:rPr>
              <w:t>Для средней степени недержания</w:t>
            </w: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590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22-01-06.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не менее 1000 </w:t>
            </w:r>
          </w:p>
        </w:tc>
        <w:tc>
          <w:tcPr>
            <w:tcW w:w="2150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120 </w:t>
            </w:r>
          </w:p>
        </w:tc>
        <w:tc>
          <w:tcPr>
            <w:tcW w:w="1418" w:type="dxa"/>
            <w:vMerge w:val="restart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4,4 </w:t>
            </w:r>
          </w:p>
        </w:tc>
        <w:tc>
          <w:tcPr>
            <w:tcW w:w="1399" w:type="dxa"/>
            <w:vMerge w:val="restart"/>
          </w:tcPr>
          <w:p w:rsidR="00B5724A" w:rsidRPr="009531D0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2,3 </w:t>
            </w: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590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22-01-08.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не менее 1300 </w:t>
            </w:r>
          </w:p>
        </w:tc>
        <w:tc>
          <w:tcPr>
            <w:tcW w:w="2150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220 </w:t>
            </w:r>
          </w:p>
        </w:tc>
        <w:tc>
          <w:tcPr>
            <w:tcW w:w="1418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399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590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22-01-10.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не менее 1450 </w:t>
            </w:r>
          </w:p>
        </w:tc>
        <w:tc>
          <w:tcPr>
            <w:tcW w:w="2150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330 </w:t>
            </w:r>
          </w:p>
        </w:tc>
        <w:tc>
          <w:tcPr>
            <w:tcW w:w="1418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399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1475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22-01-12.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не менее 1450 </w:t>
            </w:r>
          </w:p>
        </w:tc>
        <w:tc>
          <w:tcPr>
            <w:tcW w:w="2150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330 </w:t>
            </w:r>
          </w:p>
        </w:tc>
        <w:tc>
          <w:tcPr>
            <w:tcW w:w="1418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399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235"/>
          <w:jc w:val="center"/>
        </w:trPr>
        <w:tc>
          <w:tcPr>
            <w:tcW w:w="10167" w:type="dxa"/>
            <w:gridSpan w:val="6"/>
          </w:tcPr>
          <w:p w:rsidR="00B5724A" w:rsidRPr="00D8408A" w:rsidRDefault="00B5724A" w:rsidP="0091670A">
            <w:pPr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D8408A">
              <w:rPr>
                <w:rFonts w:eastAsia="Arial Unicode MS"/>
                <w:bCs/>
                <w:color w:val="000000"/>
                <w:sz w:val="20"/>
                <w:szCs w:val="20"/>
              </w:rPr>
              <w:t>Для тяжелой степени недержания</w:t>
            </w: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542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22-01-07.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 не менее 1400 </w:t>
            </w:r>
          </w:p>
        </w:tc>
        <w:tc>
          <w:tcPr>
            <w:tcW w:w="2150" w:type="dxa"/>
          </w:tcPr>
          <w:p w:rsidR="00B5724A" w:rsidRPr="009531D0" w:rsidRDefault="00B5724A" w:rsidP="0091670A">
            <w:pPr>
              <w:rPr>
                <w:rFonts w:eastAsia="Arial Unicode MS"/>
                <w:color w:val="000000"/>
                <w:vertAlign w:val="superscript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300 </w:t>
            </w:r>
          </w:p>
        </w:tc>
        <w:tc>
          <w:tcPr>
            <w:tcW w:w="1418" w:type="dxa"/>
            <w:vMerge w:val="restart"/>
          </w:tcPr>
          <w:p w:rsidR="00B5724A" w:rsidRPr="009531D0" w:rsidRDefault="00B5724A" w:rsidP="0091670A">
            <w:pPr>
              <w:rPr>
                <w:rFonts w:eastAsia="Arial Unicode MS"/>
                <w:color w:val="000000"/>
                <w:vertAlign w:val="superscript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4,4 </w:t>
            </w:r>
          </w:p>
        </w:tc>
        <w:tc>
          <w:tcPr>
            <w:tcW w:w="1399" w:type="dxa"/>
            <w:vMerge w:val="restart"/>
          </w:tcPr>
          <w:p w:rsidR="00B5724A" w:rsidRPr="009531D0" w:rsidRDefault="00B5724A" w:rsidP="0091670A">
            <w:pPr>
              <w:rPr>
                <w:rFonts w:eastAsia="Arial Unicode MS"/>
                <w:color w:val="000000"/>
                <w:vertAlign w:val="superscript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2,3 </w:t>
            </w: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542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22-01-09.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 не менее 1800 </w:t>
            </w:r>
          </w:p>
        </w:tc>
        <w:tc>
          <w:tcPr>
            <w:tcW w:w="2150" w:type="dxa"/>
          </w:tcPr>
          <w:p w:rsidR="00B5724A" w:rsidRPr="009531D0" w:rsidRDefault="00B5724A" w:rsidP="0091670A">
            <w:pPr>
              <w:rPr>
                <w:rFonts w:eastAsia="Arial Unicode MS"/>
                <w:color w:val="000000"/>
                <w:vertAlign w:val="superscript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440 </w:t>
            </w:r>
          </w:p>
        </w:tc>
        <w:tc>
          <w:tcPr>
            <w:tcW w:w="1418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  <w:tc>
          <w:tcPr>
            <w:tcW w:w="1399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542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22-01-11.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 не менее 2000 </w:t>
            </w:r>
          </w:p>
        </w:tc>
        <w:tc>
          <w:tcPr>
            <w:tcW w:w="2150" w:type="dxa"/>
          </w:tcPr>
          <w:p w:rsidR="00B5724A" w:rsidRPr="009531D0" w:rsidRDefault="00B5724A" w:rsidP="0091670A">
            <w:pPr>
              <w:rPr>
                <w:rFonts w:eastAsia="Arial Unicode MS"/>
                <w:color w:val="000000"/>
                <w:vertAlign w:val="superscript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500 </w:t>
            </w:r>
          </w:p>
        </w:tc>
        <w:tc>
          <w:tcPr>
            <w:tcW w:w="1418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  <w:tc>
          <w:tcPr>
            <w:tcW w:w="1399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</w:tr>
      <w:tr w:rsidR="00B5724A" w:rsidRPr="008E2D43" w:rsidTr="00B5724A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278" w:type="dxa"/>
          <w:trHeight w:val="542"/>
          <w:jc w:val="center"/>
        </w:trPr>
        <w:tc>
          <w:tcPr>
            <w:tcW w:w="2932" w:type="dxa"/>
            <w:gridSpan w:val="2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22-01-13.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268" w:type="dxa"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не менее 2800 </w:t>
            </w:r>
          </w:p>
        </w:tc>
        <w:tc>
          <w:tcPr>
            <w:tcW w:w="2150" w:type="dxa"/>
          </w:tcPr>
          <w:p w:rsidR="00B5724A" w:rsidRPr="009531D0" w:rsidRDefault="00B5724A" w:rsidP="0091670A">
            <w:pPr>
              <w:rPr>
                <w:rFonts w:eastAsia="Arial Unicode MS"/>
                <w:color w:val="000000"/>
                <w:vertAlign w:val="superscript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560 </w:t>
            </w:r>
          </w:p>
        </w:tc>
        <w:tc>
          <w:tcPr>
            <w:tcW w:w="1418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  <w:tc>
          <w:tcPr>
            <w:tcW w:w="1399" w:type="dxa"/>
            <w:vMerge/>
          </w:tcPr>
          <w:p w:rsidR="00B5724A" w:rsidRPr="008E2D43" w:rsidRDefault="00B5724A" w:rsidP="0091670A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</w:tr>
    </w:tbl>
    <w:p w:rsidR="00384875" w:rsidRDefault="00384875" w:rsidP="004B0403">
      <w:pPr>
        <w:tabs>
          <w:tab w:val="left" w:pos="900"/>
        </w:tabs>
      </w:pPr>
    </w:p>
    <w:sectPr w:rsidR="00384875" w:rsidSect="00C473E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61BE4"/>
    <w:rsid w:val="000A4947"/>
    <w:rsid w:val="000B6C55"/>
    <w:rsid w:val="000C2A5B"/>
    <w:rsid w:val="000C4446"/>
    <w:rsid w:val="000D3D2F"/>
    <w:rsid w:val="00114B10"/>
    <w:rsid w:val="001351DB"/>
    <w:rsid w:val="00171926"/>
    <w:rsid w:val="00181E12"/>
    <w:rsid w:val="001865A2"/>
    <w:rsid w:val="001A2AF2"/>
    <w:rsid w:val="001B267A"/>
    <w:rsid w:val="001D2797"/>
    <w:rsid w:val="001D4FFD"/>
    <w:rsid w:val="00202BDE"/>
    <w:rsid w:val="00221C3C"/>
    <w:rsid w:val="00225F92"/>
    <w:rsid w:val="00243336"/>
    <w:rsid w:val="002622DD"/>
    <w:rsid w:val="00291E33"/>
    <w:rsid w:val="002A3526"/>
    <w:rsid w:val="002C59E5"/>
    <w:rsid w:val="002D5428"/>
    <w:rsid w:val="002E292C"/>
    <w:rsid w:val="002E61C7"/>
    <w:rsid w:val="00304253"/>
    <w:rsid w:val="00322671"/>
    <w:rsid w:val="00332761"/>
    <w:rsid w:val="0036726F"/>
    <w:rsid w:val="00384875"/>
    <w:rsid w:val="003E02DA"/>
    <w:rsid w:val="003E0E65"/>
    <w:rsid w:val="00432C77"/>
    <w:rsid w:val="00445E60"/>
    <w:rsid w:val="004626BD"/>
    <w:rsid w:val="00466683"/>
    <w:rsid w:val="00467C9E"/>
    <w:rsid w:val="0049087E"/>
    <w:rsid w:val="004B0403"/>
    <w:rsid w:val="004B43DF"/>
    <w:rsid w:val="004D3034"/>
    <w:rsid w:val="004F32CF"/>
    <w:rsid w:val="00502EA2"/>
    <w:rsid w:val="00561BD5"/>
    <w:rsid w:val="0057281A"/>
    <w:rsid w:val="005A092E"/>
    <w:rsid w:val="005B21C2"/>
    <w:rsid w:val="0060233E"/>
    <w:rsid w:val="006223DE"/>
    <w:rsid w:val="00627DD9"/>
    <w:rsid w:val="00635EF2"/>
    <w:rsid w:val="006434C7"/>
    <w:rsid w:val="00643FD1"/>
    <w:rsid w:val="006646DB"/>
    <w:rsid w:val="00687A8A"/>
    <w:rsid w:val="006B724B"/>
    <w:rsid w:val="00744284"/>
    <w:rsid w:val="00752719"/>
    <w:rsid w:val="00773122"/>
    <w:rsid w:val="00781AF1"/>
    <w:rsid w:val="0079189D"/>
    <w:rsid w:val="007A74F9"/>
    <w:rsid w:val="007E2991"/>
    <w:rsid w:val="007F3884"/>
    <w:rsid w:val="007F66E2"/>
    <w:rsid w:val="00800954"/>
    <w:rsid w:val="00804C53"/>
    <w:rsid w:val="00814CE5"/>
    <w:rsid w:val="008201EB"/>
    <w:rsid w:val="00833085"/>
    <w:rsid w:val="00835790"/>
    <w:rsid w:val="008A1E70"/>
    <w:rsid w:val="008B06D1"/>
    <w:rsid w:val="008E2D43"/>
    <w:rsid w:val="00936E89"/>
    <w:rsid w:val="009557FF"/>
    <w:rsid w:val="009770CC"/>
    <w:rsid w:val="0098715C"/>
    <w:rsid w:val="00992013"/>
    <w:rsid w:val="009A39B2"/>
    <w:rsid w:val="009E09D3"/>
    <w:rsid w:val="009F7AF6"/>
    <w:rsid w:val="00A06FF3"/>
    <w:rsid w:val="00A33923"/>
    <w:rsid w:val="00A413C1"/>
    <w:rsid w:val="00A5679F"/>
    <w:rsid w:val="00A70157"/>
    <w:rsid w:val="00A901AE"/>
    <w:rsid w:val="00AC5CDB"/>
    <w:rsid w:val="00AF62B7"/>
    <w:rsid w:val="00AF668B"/>
    <w:rsid w:val="00B138EC"/>
    <w:rsid w:val="00B32783"/>
    <w:rsid w:val="00B5724A"/>
    <w:rsid w:val="00B71601"/>
    <w:rsid w:val="00B740EF"/>
    <w:rsid w:val="00B82C61"/>
    <w:rsid w:val="00BA49A5"/>
    <w:rsid w:val="00C063AD"/>
    <w:rsid w:val="00C25E23"/>
    <w:rsid w:val="00C30EBC"/>
    <w:rsid w:val="00C35D44"/>
    <w:rsid w:val="00C473E5"/>
    <w:rsid w:val="00C47F18"/>
    <w:rsid w:val="00CB0EFA"/>
    <w:rsid w:val="00CD088F"/>
    <w:rsid w:val="00CD4574"/>
    <w:rsid w:val="00CE11B6"/>
    <w:rsid w:val="00CE1D2A"/>
    <w:rsid w:val="00CE2337"/>
    <w:rsid w:val="00D020CB"/>
    <w:rsid w:val="00D04AE1"/>
    <w:rsid w:val="00D10789"/>
    <w:rsid w:val="00D40186"/>
    <w:rsid w:val="00D43CDC"/>
    <w:rsid w:val="00D508F1"/>
    <w:rsid w:val="00D75EBD"/>
    <w:rsid w:val="00D978FC"/>
    <w:rsid w:val="00DA5286"/>
    <w:rsid w:val="00DA5E62"/>
    <w:rsid w:val="00DC6445"/>
    <w:rsid w:val="00DD1F9E"/>
    <w:rsid w:val="00DD2366"/>
    <w:rsid w:val="00E90EC4"/>
    <w:rsid w:val="00E96B02"/>
    <w:rsid w:val="00EA6038"/>
    <w:rsid w:val="00EC75FF"/>
    <w:rsid w:val="00ED6E8F"/>
    <w:rsid w:val="00F1107D"/>
    <w:rsid w:val="00F44863"/>
    <w:rsid w:val="00F451FC"/>
    <w:rsid w:val="00F503C3"/>
    <w:rsid w:val="00F76C43"/>
    <w:rsid w:val="00F96482"/>
    <w:rsid w:val="00FC64A1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1623</Words>
  <Characters>11266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8</cp:revision>
  <cp:lastPrinted>2021-02-24T09:21:00Z</cp:lastPrinted>
  <dcterms:created xsi:type="dcterms:W3CDTF">2020-11-06T11:28:00Z</dcterms:created>
  <dcterms:modified xsi:type="dcterms:W3CDTF">2021-08-25T13:14:00Z</dcterms:modified>
</cp:coreProperties>
</file>