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C0" w:rsidRPr="00FE48C0" w:rsidRDefault="00FE48C0" w:rsidP="00FE48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</w:pPr>
      <w:bookmarkStart w:id="0" w:name="_Toc447719632"/>
      <w:r w:rsidRPr="00FE48C0"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  <w:t>ОПИСАНИЕ ОБЪЕКТА ЗАКУПКИ</w:t>
      </w:r>
      <w:bookmarkEnd w:id="0"/>
    </w:p>
    <w:p w:rsidR="00FE48C0" w:rsidRPr="00FE48C0" w:rsidRDefault="00FE48C0" w:rsidP="00FE48C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FE48C0" w:rsidRPr="00FE48C0" w:rsidRDefault="00FE48C0" w:rsidP="00FE48C0">
      <w:pPr>
        <w:widowControl w:val="0"/>
        <w:suppressAutoHyphens/>
        <w:spacing w:after="60" w:line="228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val="de-DE" w:eastAsia="fa-IR" w:bidi="fa-IR"/>
        </w:rPr>
      </w:pPr>
      <w:r w:rsidRPr="00FE48C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ru-RU"/>
        </w:rPr>
        <w:t xml:space="preserve">Общие технические характеристики </w:t>
      </w:r>
      <w:r w:rsidRPr="00FE48C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ru-RU"/>
        </w:rPr>
        <w:t>выполняемых работ: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val="en-US" w:eastAsia="ru-RU"/>
        </w:rPr>
        <w:t>in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val="en-US" w:eastAsia="ru-RU"/>
        </w:rPr>
        <w:t>virto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», ГОСТ Р 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val="en-US" w:eastAsia="ru-RU"/>
        </w:rPr>
        <w:t>ISO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Узел протеза должен быть стойкими к воздействию физиологических растворов (пота).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Протезы конечностей должны быть классифицированы в соответствии с требованиями Национального стандарта Российской Федерации ГОСТ Р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Р 51819-2017 «Протезирование и ортезирование верхних и нижних конечностей. Термины и определения», Национальному стандарту РФ ГОСТ Р ИСО 22523-2007 «Протезы конечностей и ортезы наружные. Требования и методы испытаний»,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6"/>
        <w:gridCol w:w="4790"/>
        <w:gridCol w:w="1134"/>
        <w:gridCol w:w="993"/>
      </w:tblGrid>
      <w:tr w:rsidR="00FE48C0" w:rsidRPr="00FE48C0" w:rsidTr="005B060E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134" w:type="dxa"/>
            <w:vAlign w:val="center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FE48C0" w:rsidRPr="00FE48C0" w:rsidTr="005B060E">
        <w:trPr>
          <w:trHeight w:val="799"/>
        </w:trPr>
        <w:tc>
          <w:tcPr>
            <w:tcW w:w="540" w:type="dxa"/>
            <w:shd w:val="clear" w:color="auto" w:fill="auto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FE48C0" w:rsidRPr="00FE48C0" w:rsidRDefault="00FE48C0" w:rsidP="00FE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модульный с  микропроцессорным управлением</w:t>
            </w:r>
          </w:p>
        </w:tc>
        <w:tc>
          <w:tcPr>
            <w:tcW w:w="4790" w:type="dxa"/>
            <w:shd w:val="clear" w:color="auto" w:fill="auto"/>
          </w:tcPr>
          <w:p w:rsidR="00FE48C0" w:rsidRPr="00FE48C0" w:rsidRDefault="00FE48C0" w:rsidP="00FE48C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 с внешним источником энергии, индивидуального изготовления. Приемная гильза  изготовления по слепку с культи инвалида. Материал постоянной гильзы: литьевой слоистый пластик на основе акриловых смол. Вкладная гильза из эластичного пластика. Допускается изготовление пробных гильз. Материал пробной гильзы- термопластик. Крепление протеза при помощи силиконового лайнера с передвижной мембраной и вакуумного клапана. Допускается применение внешнего элемента крепления – бандажом. Регулировочно-соединительные устройства соответствуют весовым и нагрузочным параметрам пациента. Коленный модуль: с управляемой микропроцессором фазой опоры и переноса (управляемая микропроцессором вязкость магнитореологической жидкости в приводе коленного модуля) с функцией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 угол сгибания до 120°,  максимальный вес пациента до 136 кг. Надколенный поворотный адаптер.  Стопа с высокой степенью </w:t>
            </w:r>
            <w:r w:rsidRPr="00FE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энергосбережения с расщепленной носочной частью с отведенным большим пальцем, дополнительной J-образной пружиной,  возможность выбора жесткости под массу и активность пациента. Формообразующая часть косметической оболочки специализированная, пыле-, влагоотталкивающая. Тип протеза: постоянный. </w:t>
            </w:r>
          </w:p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993" w:type="dxa"/>
          </w:tcPr>
          <w:p w:rsidR="00FE48C0" w:rsidRPr="00FE48C0" w:rsidRDefault="00FE48C0" w:rsidP="00FE48C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</w:pP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  <w:t>Требования к техническим и функциональным характеристикам работ: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FE48C0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С учетом уровня ампутации и модулирования, применяемого в протезировании: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- приемная гильза протеза конечности</w:t>
      </w: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E48C0" w:rsidRPr="00FE48C0" w:rsidRDefault="00FE48C0" w:rsidP="00FE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8C0">
        <w:rPr>
          <w:rFonts w:ascii="Times New Roman" w:eastAsia="Times New Roman" w:hAnsi="Times New Roman" w:cs="Times New Roman"/>
          <w:sz w:val="20"/>
          <w:szCs w:val="20"/>
          <w:lang w:eastAsia="ru-RU"/>
        </w:rPr>
        <w:t>- функциональный узел протеза конечности должен выполнять заданную функцию и иметь конструктивно-технологическую завершенность. Узлы должны быть ремонтопригодными или работоспособными в течение срока службы.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</w:pP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  <w:t>Требования к безопасности работ: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</w:pP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  <w:t>Требования к результатам работ:</w:t>
      </w:r>
    </w:p>
    <w:p w:rsidR="00FE48C0" w:rsidRPr="00FE48C0" w:rsidRDefault="00FE48C0" w:rsidP="00FE48C0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ar-SA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E48C0" w:rsidRPr="00FE48C0" w:rsidRDefault="00FE48C0" w:rsidP="00FE48C0">
      <w:pPr>
        <w:keepNext/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</w:pP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  <w:t>Требования к маркировке, упаковке, транспортированию и хранению изделий по ГОСТ 20790/ГОСТ 59444, ГОСТ 30324.0/ГОСТ Р 50267.0 и ГОСТ 51632-2014.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</w:pPr>
      <w:r w:rsidRPr="00FE48C0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StarSymbol" w:hAnsi="Times New Roman" w:cs="Times New Roman"/>
          <w:spacing w:val="-2"/>
          <w:kern w:val="3"/>
          <w:sz w:val="20"/>
          <w:szCs w:val="20"/>
          <w:lang w:eastAsia="ru-RU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 и составляет не менее 7</w:t>
      </w:r>
      <w:r w:rsidRPr="00FE48C0">
        <w:rPr>
          <w:rFonts w:ascii="Times New Roman" w:eastAsia="Arial Unicode MS" w:hAnsi="Times New Roman" w:cs="Times New Roman"/>
          <w:color w:val="000000"/>
          <w:spacing w:val="-2"/>
          <w:kern w:val="3"/>
          <w:sz w:val="20"/>
          <w:szCs w:val="20"/>
          <w:lang w:eastAsia="ru-RU"/>
        </w:rPr>
        <w:t xml:space="preserve"> месяцев</w:t>
      </w:r>
      <w:r w:rsidRPr="00FE48C0">
        <w:rPr>
          <w:rFonts w:ascii="Times New Roman" w:eastAsia="StarSymbol" w:hAnsi="Times New Roman" w:cs="Times New Roman"/>
          <w:spacing w:val="-2"/>
          <w:kern w:val="3"/>
          <w:sz w:val="20"/>
          <w:szCs w:val="20"/>
          <w:lang w:eastAsia="ru-RU"/>
        </w:rPr>
        <w:t>.</w:t>
      </w:r>
    </w:p>
    <w:p w:rsidR="00FE48C0" w:rsidRPr="00FE48C0" w:rsidRDefault="00FE48C0" w:rsidP="00FE48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ru-RU"/>
        </w:rPr>
      </w:pPr>
      <w:r w:rsidRPr="00FE48C0">
        <w:rPr>
          <w:rFonts w:ascii="Times New Roman" w:eastAsia="Lucida Sans Unicode" w:hAnsi="Times New Roman" w:cs="Times New Roman"/>
          <w:kern w:val="3"/>
          <w:sz w:val="20"/>
          <w:szCs w:val="20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FE48C0" w:rsidRPr="00FE48C0" w:rsidRDefault="00FE48C0" w:rsidP="00FE48C0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 w:rsidRPr="00FE48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Выполнение работ осуществляется</w:t>
      </w:r>
      <w:r w:rsidRPr="00FE4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по индивидуальным заказам Получателей по месту изготовления изделий. </w:t>
      </w:r>
    </w:p>
    <w:p w:rsidR="00FE48C0" w:rsidRPr="00FE48C0" w:rsidRDefault="00FE48C0" w:rsidP="00FE48C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E48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Обеспечение и выдача изделий</w:t>
      </w:r>
      <w:r w:rsidRPr="00FE4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по согласованию с Получателем на территории Псковской области, по месту нахождения и/или жительства Получателя либо по месту нахождения Исполнителя.</w:t>
      </w:r>
    </w:p>
    <w:p w:rsidR="00FE48C0" w:rsidRPr="00FE48C0" w:rsidRDefault="00FE48C0" w:rsidP="00FE48C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E48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Начало срока выполнения работ: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FE48C0" w:rsidRPr="00FE48C0" w:rsidRDefault="00FE48C0" w:rsidP="00FE48C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E48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Окончание срока выполнения работ: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не позднее 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17.12.2021</w:t>
      </w:r>
      <w:r w:rsidRPr="00FE4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ода включительно.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FE48C0" w:rsidRPr="00FE48C0" w:rsidRDefault="00FE48C0" w:rsidP="00FE48C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Срок действия Контракта:</w:t>
      </w:r>
      <w:r w:rsidRPr="00FE48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 даты заключения Контракта 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до</w:t>
      </w:r>
      <w:r w:rsidRPr="00FE48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31.12.2021</w:t>
      </w:r>
      <w:r w:rsidRPr="00FE48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48C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года включительно</w:t>
      </w:r>
    </w:p>
    <w:p w:rsidR="00FE48C0" w:rsidRPr="00FE48C0" w:rsidRDefault="00FE48C0" w:rsidP="00FE48C0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521A0D" w:rsidRDefault="00521A0D">
      <w:bookmarkStart w:id="1" w:name="_GoBack"/>
      <w:bookmarkEnd w:id="1"/>
    </w:p>
    <w:sectPr w:rsidR="0052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1"/>
    <w:rsid w:val="00521A0D"/>
    <w:rsid w:val="00F62971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639D-AB0E-42A7-88F2-9EA1976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2021-08-19T11:28:00Z</dcterms:created>
  <dcterms:modified xsi:type="dcterms:W3CDTF">2021-08-19T11:28:00Z</dcterms:modified>
</cp:coreProperties>
</file>