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8" w:rsidRDefault="00E02D98" w:rsidP="00E02D98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405136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E02D98" w:rsidRDefault="00E02D98" w:rsidP="00E02D98">
      <w:pPr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709"/>
        <w:gridCol w:w="850"/>
      </w:tblGrid>
      <w:tr w:rsidR="00E02D98" w:rsidRPr="00F52357" w:rsidTr="00940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F52357" w:rsidRDefault="00E02D98" w:rsidP="0094022E">
            <w:pPr>
              <w:autoSpaceDE w:val="0"/>
              <w:spacing w:line="240" w:lineRule="atLeast"/>
              <w:ind w:left="-851" w:right="-426" w:firstLine="460"/>
              <w:jc w:val="center"/>
              <w:rPr>
                <w:sz w:val="22"/>
                <w:szCs w:val="22"/>
              </w:rPr>
            </w:pPr>
            <w:r w:rsidRPr="00F5235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98" w:rsidRPr="00F52357" w:rsidRDefault="00E02D98" w:rsidP="0094022E">
            <w:pPr>
              <w:autoSpaceDE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52357">
              <w:rPr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F52357" w:rsidRDefault="00E02D98" w:rsidP="0094022E">
            <w:pPr>
              <w:autoSpaceDE w:val="0"/>
              <w:spacing w:line="240" w:lineRule="atLeast"/>
              <w:ind w:left="-34" w:right="-77"/>
              <w:jc w:val="center"/>
              <w:rPr>
                <w:sz w:val="22"/>
                <w:szCs w:val="22"/>
              </w:rPr>
            </w:pPr>
            <w:r w:rsidRPr="00F52357">
              <w:rPr>
                <w:sz w:val="22"/>
                <w:szCs w:val="2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94022E">
            <w:pPr>
              <w:autoSpaceDE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52357">
              <w:rPr>
                <w:sz w:val="22"/>
                <w:szCs w:val="22"/>
              </w:rPr>
              <w:t>Ед.</w:t>
            </w:r>
          </w:p>
          <w:p w:rsidR="00E02D98" w:rsidRPr="00F52357" w:rsidRDefault="00E02D98" w:rsidP="0094022E">
            <w:pPr>
              <w:autoSpaceDE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52357">
              <w:rPr>
                <w:sz w:val="22"/>
                <w:szCs w:val="22"/>
              </w:rPr>
              <w:t>изм.</w:t>
            </w:r>
          </w:p>
        </w:tc>
      </w:tr>
      <w:tr w:rsidR="00E02D98" w:rsidRPr="00F52357" w:rsidTr="00940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94022E">
            <w:pPr>
              <w:snapToGrid w:val="0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167EE">
              <w:rPr>
                <w:rFonts w:eastAsia="Calibri"/>
                <w:bCs/>
                <w:sz w:val="22"/>
                <w:szCs w:val="22"/>
              </w:rPr>
              <w:t>Протез кисти с внешним источником энергии</w:t>
            </w:r>
          </w:p>
          <w:p w:rsidR="00E02D98" w:rsidRPr="00F52357" w:rsidRDefault="00E02D98" w:rsidP="0094022E">
            <w:pPr>
              <w:snapToGrid w:val="0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(</w:t>
            </w:r>
            <w:r w:rsidRPr="00EA15CD">
              <w:rPr>
                <w:rFonts w:eastAsia="Calibri"/>
                <w:bCs/>
                <w:sz w:val="22"/>
                <w:szCs w:val="22"/>
              </w:rPr>
              <w:t>8-04-01</w:t>
            </w:r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 xml:space="preserve">Протез предназначен для компенсации врожденных и ампутационных дефектов пальцев и кисти.  </w:t>
            </w:r>
          </w:p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 xml:space="preserve">Протез должен состоять из трех основных частей: приемной гильзы с интегрированной системой управления, системы питания на браслете и модулей пальцев, установленных на несущей гильзе. Привод модуля пальца должен быть электромеханический. </w:t>
            </w:r>
          </w:p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>В памяти протеза должно находиться не более 2 преднастроенных жестов. У пользователя должна быть возможность выбирать конфигурацию жеста самостоятельно. Количество жестов должно быть не менее 14.</w:t>
            </w:r>
          </w:p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>Приемная гильза должна быть изготовлена из мягких смол или силикона. Удержание протезов на культи должно происходить за счет ее костной части и объема мягких тканей. Внешняя гильза должна изготавливаться по индивидуальной приемной гильзе с применением 3D сканирования и печати из полиамида.</w:t>
            </w:r>
          </w:p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>В качестве источника питания должен служить заряжаемый, несъемный литий-ионный аккумулятор с защитой от перезаряда. В зарядке должен быть стандартный разъем USB-Type C, и светодиодная индикация статуса батареи.</w:t>
            </w:r>
          </w:p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>Управление протезом должно происходить за счет регистрации на поверхности кожи предплечья электромиографического сигнала посредством миодатчиков, расположенных во внутренней гильзе. Управление скоростью и силой схвата должно осуществляться пропорционально силе напряжения мышц культи, что должно позволить брать хрупкие предметы.</w:t>
            </w:r>
          </w:p>
          <w:p w:rsidR="00E02D98" w:rsidRPr="004167EE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 xml:space="preserve">По желанию пользователя должна иметься возможность создания различных по форме и цвету вариантов модуля кисти, чтобы выразить индивидуальность и стиль. </w:t>
            </w:r>
          </w:p>
          <w:p w:rsidR="00E02D98" w:rsidRPr="00F52357" w:rsidRDefault="00E02D98" w:rsidP="0094022E">
            <w:pPr>
              <w:jc w:val="both"/>
              <w:rPr>
                <w:sz w:val="22"/>
                <w:szCs w:val="22"/>
              </w:rPr>
            </w:pPr>
            <w:r w:rsidRPr="004167EE">
              <w:rPr>
                <w:sz w:val="22"/>
                <w:szCs w:val="22"/>
              </w:rPr>
              <w:t>Ладонь и кончики пальцев должны быть оснащены противоскользящими силиконовыми накладками.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4167EE" w:rsidRDefault="00E02D98" w:rsidP="009402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67E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F52357" w:rsidRDefault="00E02D98" w:rsidP="0094022E">
            <w:pPr>
              <w:autoSpaceDE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52357">
              <w:rPr>
                <w:sz w:val="22"/>
                <w:szCs w:val="22"/>
              </w:rPr>
              <w:t>штука</w:t>
            </w:r>
          </w:p>
        </w:tc>
      </w:tr>
    </w:tbl>
    <w:p w:rsidR="00E02D98" w:rsidRPr="004167EE" w:rsidRDefault="00E02D98" w:rsidP="00E02D98">
      <w:pPr>
        <w:suppressAutoHyphens/>
        <w:autoSpaceDE w:val="0"/>
        <w:ind w:left="-426" w:right="-141" w:firstLine="710"/>
        <w:jc w:val="both"/>
        <w:rPr>
          <w:rFonts w:eastAsia="Arial"/>
          <w:sz w:val="22"/>
          <w:szCs w:val="22"/>
          <w:lang w:eastAsia="ar-SA"/>
        </w:rPr>
      </w:pPr>
      <w:r w:rsidRPr="004167EE">
        <w:rPr>
          <w:rFonts w:eastAsia="Arial"/>
          <w:sz w:val="22"/>
          <w:szCs w:val="22"/>
          <w:lang w:eastAsia="ar-SA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E02D98" w:rsidRPr="004167EE" w:rsidRDefault="00E02D98" w:rsidP="00E02D98">
      <w:pPr>
        <w:suppressAutoHyphens/>
        <w:autoSpaceDE w:val="0"/>
        <w:ind w:left="-426" w:right="-141" w:firstLine="710"/>
        <w:jc w:val="both"/>
        <w:rPr>
          <w:rFonts w:eastAsia="Arial"/>
          <w:sz w:val="22"/>
          <w:szCs w:val="22"/>
          <w:lang w:eastAsia="ar-SA"/>
        </w:rPr>
      </w:pPr>
      <w:r w:rsidRPr="004167EE">
        <w:rPr>
          <w:rFonts w:eastAsia="Arial"/>
          <w:sz w:val="22"/>
          <w:szCs w:val="22"/>
          <w:lang w:eastAsia="ar-SA"/>
        </w:rPr>
        <w:t>Работы по изготовлению протезов должны предусматривать индивидуальное изготовление, обучение пользованию и выдачу технического средства реабилитации.</w:t>
      </w:r>
    </w:p>
    <w:p w:rsidR="00E02D98" w:rsidRPr="004167EE" w:rsidRDefault="00E02D98" w:rsidP="00E02D98">
      <w:pPr>
        <w:ind w:left="-426" w:right="-141" w:firstLine="710"/>
        <w:outlineLvl w:val="0"/>
        <w:rPr>
          <w:rFonts w:eastAsia="Calibri"/>
          <w:b/>
          <w:sz w:val="22"/>
          <w:szCs w:val="22"/>
        </w:rPr>
      </w:pPr>
      <w:r w:rsidRPr="004167EE">
        <w:rPr>
          <w:rFonts w:eastAsia="Calibri"/>
          <w:b/>
          <w:sz w:val="22"/>
          <w:szCs w:val="22"/>
        </w:rPr>
        <w:t>Требования к качеству и безопасности</w:t>
      </w:r>
      <w:r>
        <w:rPr>
          <w:rFonts w:eastAsia="Calibri"/>
          <w:b/>
          <w:sz w:val="22"/>
          <w:szCs w:val="22"/>
        </w:rPr>
        <w:t>.</w:t>
      </w:r>
    </w:p>
    <w:p w:rsidR="00E02D98" w:rsidRPr="004167EE" w:rsidRDefault="00E02D98" w:rsidP="00E02D98">
      <w:pPr>
        <w:suppressAutoHyphens/>
        <w:ind w:left="-426" w:right="-141" w:firstLine="710"/>
        <w:jc w:val="both"/>
        <w:rPr>
          <w:color w:val="000000"/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 xml:space="preserve">Работы по обеспечению инвалида протезом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4167EE">
        <w:rPr>
          <w:sz w:val="22"/>
          <w:szCs w:val="22"/>
          <w:lang w:eastAsia="ar-SA"/>
        </w:rPr>
        <w:t>in</w:t>
      </w:r>
      <w:proofErr w:type="spellEnd"/>
      <w:r w:rsidRPr="004167EE">
        <w:rPr>
          <w:sz w:val="22"/>
          <w:szCs w:val="22"/>
          <w:lang w:eastAsia="ar-SA"/>
        </w:rPr>
        <w:t xml:space="preserve"> </w:t>
      </w:r>
      <w:proofErr w:type="spellStart"/>
      <w:r w:rsidRPr="004167EE">
        <w:rPr>
          <w:sz w:val="22"/>
          <w:szCs w:val="22"/>
          <w:lang w:eastAsia="ar-SA"/>
        </w:rPr>
        <w:t>vitro</w:t>
      </w:r>
      <w:proofErr w:type="spellEnd"/>
      <w:r w:rsidRPr="004167EE">
        <w:rPr>
          <w:sz w:val="22"/>
          <w:szCs w:val="22"/>
          <w:lang w:eastAsia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4167EE">
        <w:rPr>
          <w:sz w:val="22"/>
          <w:szCs w:val="22"/>
        </w:rPr>
        <w:t xml:space="preserve"> </w:t>
      </w:r>
      <w:r w:rsidRPr="004167EE">
        <w:rPr>
          <w:sz w:val="22"/>
          <w:szCs w:val="22"/>
          <w:lang w:eastAsia="ar-SA"/>
        </w:rPr>
        <w:t>(с Поправкой),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1)», ГОСТ Р 56138-2014 «Протезы верхних конечностей. Технические требования»</w:t>
      </w:r>
      <w:r w:rsidRPr="004167EE">
        <w:rPr>
          <w:color w:val="000000"/>
          <w:sz w:val="22"/>
          <w:szCs w:val="22"/>
          <w:lang w:eastAsia="ar-SA"/>
        </w:rPr>
        <w:t>.</w:t>
      </w:r>
    </w:p>
    <w:p w:rsidR="00E02D98" w:rsidRPr="004167EE" w:rsidRDefault="00E02D98" w:rsidP="00E02D98">
      <w:pPr>
        <w:suppressAutoHyphens/>
        <w:ind w:left="-426" w:right="-141" w:firstLine="710"/>
        <w:jc w:val="both"/>
        <w:rPr>
          <w:color w:val="000000"/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Маркировка протезов, а также их упаковка должна осуществляться с соблюдением требований ГОСТ Р ИСО 22523-2007 «Протезы конечностей и ортезы наружные. Требования и методы испытаний»</w:t>
      </w:r>
    </w:p>
    <w:p w:rsidR="00E02D98" w:rsidRPr="004167EE" w:rsidRDefault="00E02D98" w:rsidP="00E02D98">
      <w:pPr>
        <w:suppressAutoHyphens/>
        <w:autoSpaceDE w:val="0"/>
        <w:ind w:left="-426" w:right="-141" w:firstLine="710"/>
        <w:jc w:val="both"/>
        <w:rPr>
          <w:rFonts w:eastAsia="Arial"/>
          <w:sz w:val="22"/>
          <w:szCs w:val="22"/>
          <w:lang w:eastAsia="ar-SA"/>
        </w:rPr>
      </w:pPr>
      <w:r w:rsidRPr="004167EE">
        <w:rPr>
          <w:rFonts w:eastAsia="Arial"/>
          <w:bCs/>
          <w:sz w:val="22"/>
          <w:szCs w:val="22"/>
          <w:lang w:eastAsia="ar-SA"/>
        </w:rPr>
        <w:t xml:space="preserve">Протезирование конечностей должно </w:t>
      </w:r>
      <w:r w:rsidRPr="004167EE">
        <w:rPr>
          <w:rFonts w:eastAsia="Arial"/>
          <w:sz w:val="22"/>
          <w:szCs w:val="22"/>
          <w:lang w:eastAsia="ar-SA"/>
        </w:rPr>
        <w:t>заключаться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E02D98" w:rsidRPr="004167EE" w:rsidRDefault="00E02D98" w:rsidP="00E02D98">
      <w:pPr>
        <w:autoSpaceDE w:val="0"/>
        <w:autoSpaceDN w:val="0"/>
        <w:adjustRightInd w:val="0"/>
        <w:ind w:left="-426" w:right="-141" w:firstLine="710"/>
        <w:jc w:val="both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02D98" w:rsidRPr="004167EE" w:rsidRDefault="00E02D98" w:rsidP="00E02D98">
      <w:pPr>
        <w:ind w:left="-426" w:right="-141" w:firstLine="710"/>
        <w:jc w:val="both"/>
        <w:outlineLvl w:val="0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lastRenderedPageBreak/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E02D98" w:rsidRPr="004167EE" w:rsidRDefault="00E02D98" w:rsidP="00E02D98">
      <w:pPr>
        <w:ind w:left="-426" w:right="-141" w:firstLine="710"/>
        <w:jc w:val="both"/>
        <w:outlineLvl w:val="0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4167EE">
        <w:rPr>
          <w:rFonts w:eastAsia="Calibri"/>
          <w:sz w:val="22"/>
          <w:szCs w:val="22"/>
        </w:rPr>
        <w:t>подформовку</w:t>
      </w:r>
      <w:proofErr w:type="spellEnd"/>
      <w:r w:rsidRPr="004167EE">
        <w:rPr>
          <w:rFonts w:eastAsia="Calibri"/>
          <w:sz w:val="22"/>
          <w:szCs w:val="22"/>
        </w:rPr>
        <w:t>).</w:t>
      </w:r>
    </w:p>
    <w:p w:rsidR="00E02D98" w:rsidRPr="004167EE" w:rsidRDefault="00E02D98" w:rsidP="00E02D98">
      <w:pPr>
        <w:suppressAutoHyphens/>
        <w:ind w:left="-426" w:right="-141" w:firstLine="710"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Металлические детали протеза должны быть изготовлены из коррозионностойких материалов или иметь защитные или защитно-декоративные покрытия по ГОСТ 9.301-86 «Единая система защиты от коррозии и старения (ЕСЗКС). Покрытия металлические и неметаллические неорганические. Общие требования (с Изменениями N 1, 2)».</w:t>
      </w:r>
    </w:p>
    <w:p w:rsidR="00E02D98" w:rsidRPr="004167EE" w:rsidRDefault="00E02D98" w:rsidP="00E02D98">
      <w:pPr>
        <w:ind w:left="-426" w:right="-141" w:firstLine="710"/>
        <w:outlineLvl w:val="0"/>
        <w:rPr>
          <w:rFonts w:eastAsia="Calibri"/>
          <w:b/>
          <w:sz w:val="22"/>
          <w:szCs w:val="22"/>
        </w:rPr>
      </w:pPr>
      <w:r w:rsidRPr="004167EE">
        <w:rPr>
          <w:rFonts w:eastAsia="Calibri"/>
          <w:b/>
          <w:sz w:val="22"/>
          <w:szCs w:val="22"/>
        </w:rPr>
        <w:t>Требования к техническим и функциональным характеристикам</w:t>
      </w:r>
      <w:r>
        <w:rPr>
          <w:rFonts w:eastAsia="Calibri"/>
          <w:b/>
          <w:sz w:val="22"/>
          <w:szCs w:val="22"/>
        </w:rPr>
        <w:t>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 xml:space="preserve">Работы по изготовлению протезов верхних конечностей предусматривают индивидуальное изготовление с учетом анатомических дефектов верхних конечностей, в том числе: 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- примерку и, при необходимости, подгонку изделия, исходя из антропометрических данных пользователя;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- обучение пользованию и выдачу технического средства реабилитации.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Проведение замеров, примерки и выдачи готового изделия должны осуществляться на территории г. Москва.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Движения в подвижных соединениях протеза должны быть плавными и без заеданий.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rPr>
          <w:sz w:val="22"/>
          <w:szCs w:val="22"/>
          <w:lang w:eastAsia="ar-SA"/>
        </w:rPr>
      </w:pPr>
      <w:r w:rsidRPr="004167EE">
        <w:rPr>
          <w:rFonts w:eastAsia="Calibri"/>
          <w:b/>
          <w:sz w:val="22"/>
          <w:szCs w:val="22"/>
        </w:rPr>
        <w:t>Требования к маркировке, упаковке</w:t>
      </w:r>
      <w:r>
        <w:rPr>
          <w:rFonts w:eastAsia="Calibri"/>
          <w:b/>
          <w:sz w:val="22"/>
          <w:szCs w:val="22"/>
        </w:rPr>
        <w:t>.</w:t>
      </w:r>
    </w:p>
    <w:p w:rsidR="00E02D98" w:rsidRPr="004167EE" w:rsidRDefault="00E02D98" w:rsidP="00E02D98">
      <w:pPr>
        <w:widowControl w:val="0"/>
        <w:suppressAutoHyphens/>
        <w:autoSpaceDN w:val="0"/>
        <w:ind w:left="-426" w:right="-141" w:firstLine="710"/>
        <w:jc w:val="both"/>
        <w:rPr>
          <w:rFonts w:eastAsia="Lucida Sans Unicode"/>
          <w:kern w:val="2"/>
          <w:sz w:val="22"/>
          <w:szCs w:val="22"/>
        </w:rPr>
      </w:pPr>
      <w:r w:rsidRPr="004167EE">
        <w:rPr>
          <w:rFonts w:eastAsia="Lucida Sans Unicode"/>
          <w:kern w:val="2"/>
          <w:sz w:val="22"/>
          <w:szCs w:val="22"/>
        </w:rPr>
        <w:t xml:space="preserve">При необходимости отправки протезно-ортопедических изделий к месту нахождения инвалида 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02D98" w:rsidRPr="004167EE" w:rsidRDefault="00E02D98" w:rsidP="00E02D98">
      <w:pPr>
        <w:widowControl w:val="0"/>
        <w:suppressAutoHyphens/>
        <w:autoSpaceDN w:val="0"/>
        <w:ind w:left="-426" w:right="-141" w:firstLine="710"/>
        <w:jc w:val="both"/>
        <w:rPr>
          <w:rFonts w:eastAsia="Lucida Sans Unicode"/>
          <w:kern w:val="2"/>
          <w:sz w:val="22"/>
          <w:szCs w:val="22"/>
        </w:rPr>
      </w:pPr>
      <w:r w:rsidRPr="004167EE">
        <w:rPr>
          <w:rFonts w:eastAsia="Lucida Sans Unicode"/>
          <w:kern w:val="2"/>
          <w:sz w:val="22"/>
          <w:szCs w:val="22"/>
        </w:rPr>
        <w:t>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E02D98" w:rsidRPr="004167EE" w:rsidRDefault="00E02D98" w:rsidP="00E02D98">
      <w:pPr>
        <w:widowControl w:val="0"/>
        <w:suppressAutoHyphens/>
        <w:autoSpaceDN w:val="0"/>
        <w:ind w:left="-426" w:right="-141" w:firstLine="710"/>
        <w:jc w:val="both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t>Каждый протез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Pr="004167EE">
        <w:rPr>
          <w:rFonts w:eastAsia="Calibri"/>
          <w:sz w:val="22"/>
          <w:szCs w:val="22"/>
        </w:rPr>
        <w:t>ие</w:t>
      </w:r>
      <w:proofErr w:type="spellEnd"/>
      <w:r w:rsidRPr="004167EE">
        <w:rPr>
          <w:rFonts w:eastAsia="Calibri"/>
          <w:sz w:val="22"/>
          <w:szCs w:val="22"/>
        </w:rPr>
        <w:t xml:space="preserve">) документ(ы), а также условия нагружения и/или уровни нагрузки, применяемые при испытаниях. </w:t>
      </w:r>
    </w:p>
    <w:p w:rsidR="00E02D98" w:rsidRPr="004167EE" w:rsidRDefault="00E02D98" w:rsidP="00E02D98">
      <w:pPr>
        <w:widowControl w:val="0"/>
        <w:suppressAutoHyphens/>
        <w:autoSpaceDN w:val="0"/>
        <w:ind w:left="-426" w:right="-141" w:firstLine="710"/>
        <w:jc w:val="both"/>
        <w:rPr>
          <w:rFonts w:eastAsia="Lucida Sans Unicode"/>
          <w:kern w:val="2"/>
          <w:sz w:val="22"/>
          <w:szCs w:val="22"/>
        </w:rPr>
      </w:pPr>
      <w:r w:rsidRPr="004167EE">
        <w:rPr>
          <w:rFonts w:eastAsia="Calibri"/>
          <w:sz w:val="22"/>
          <w:szCs w:val="22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например, указание о допустимых максимальных значениях соответствующих параметров </w:t>
      </w:r>
      <w:r w:rsidRPr="004167EE">
        <w:rPr>
          <w:sz w:val="22"/>
          <w:szCs w:val="22"/>
          <w:lang w:eastAsia="ar-SA"/>
        </w:rPr>
        <w:t>Данные на этикетке не должны зависеть от специальной информации изготовителя по назначенному применению протезов.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rPr>
          <w:b/>
          <w:sz w:val="22"/>
          <w:szCs w:val="22"/>
          <w:lang w:eastAsia="ar-SA"/>
        </w:rPr>
      </w:pPr>
      <w:r w:rsidRPr="004167EE">
        <w:rPr>
          <w:b/>
          <w:sz w:val="22"/>
          <w:szCs w:val="22"/>
          <w:lang w:eastAsia="ar-SA"/>
        </w:rPr>
        <w:t>Требования к результатам работ</w:t>
      </w:r>
      <w:r>
        <w:rPr>
          <w:b/>
          <w:sz w:val="22"/>
          <w:szCs w:val="22"/>
          <w:lang w:eastAsia="ar-SA"/>
        </w:rPr>
        <w:t>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Работы по обеспечению протезом верхней конечности следует считать эффективно исполненными, если у получателя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 xml:space="preserve">При передаче получателю готового изделия исполнитель обязан обеспечить консультационную помощь по правильному пользованию изделием и предоставить инструкцию по применению протеза. </w:t>
      </w:r>
      <w:r w:rsidRPr="004167EE">
        <w:rPr>
          <w:sz w:val="22"/>
          <w:szCs w:val="22"/>
          <w:lang w:eastAsia="ar-SA"/>
        </w:rPr>
        <w:lastRenderedPageBreak/>
        <w:t>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a) допустимые максимальные значения основных параметров нагружения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E02D98" w:rsidRPr="004167EE" w:rsidRDefault="00E02D98" w:rsidP="00E02D98">
      <w:pPr>
        <w:suppressAutoHyphens/>
        <w:ind w:left="-426" w:right="-141" w:firstLine="710"/>
        <w:contextualSpacing/>
        <w:jc w:val="both"/>
        <w:rPr>
          <w:sz w:val="22"/>
          <w:szCs w:val="22"/>
          <w:lang w:eastAsia="ar-SA"/>
        </w:rPr>
      </w:pPr>
      <w:r w:rsidRPr="004167EE">
        <w:rPr>
          <w:sz w:val="22"/>
          <w:szCs w:val="22"/>
          <w:lang w:eastAsia="ar-SA"/>
        </w:rPr>
        <w:t>б) данные узлов и/или элементов, которые могут быть использованы в протезном устройстве.</w:t>
      </w:r>
    </w:p>
    <w:p w:rsidR="00E02D98" w:rsidRPr="004167EE" w:rsidRDefault="00E02D98" w:rsidP="00E02D98">
      <w:pPr>
        <w:keepNext/>
        <w:ind w:left="-426" w:right="-141" w:firstLine="710"/>
        <w:contextualSpacing/>
        <w:jc w:val="both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E02D98" w:rsidRPr="004167EE" w:rsidRDefault="00E02D98" w:rsidP="00E02D98">
      <w:pPr>
        <w:autoSpaceDN w:val="0"/>
        <w:adjustRightInd w:val="0"/>
        <w:ind w:left="-426" w:right="-141" w:firstLine="710"/>
        <w:outlineLvl w:val="0"/>
        <w:rPr>
          <w:rFonts w:eastAsia="Calibri"/>
          <w:b/>
          <w:sz w:val="22"/>
          <w:szCs w:val="22"/>
        </w:rPr>
      </w:pPr>
      <w:r w:rsidRPr="004167EE">
        <w:rPr>
          <w:rFonts w:eastAsia="Calibri"/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  <w:r>
        <w:rPr>
          <w:rFonts w:eastAsia="Calibri"/>
          <w:b/>
          <w:sz w:val="22"/>
          <w:szCs w:val="22"/>
        </w:rPr>
        <w:t>.</w:t>
      </w:r>
    </w:p>
    <w:p w:rsidR="00E02D98" w:rsidRPr="004167EE" w:rsidRDefault="00E02D98" w:rsidP="00E02D98">
      <w:pPr>
        <w:ind w:left="-426" w:right="-141" w:firstLine="710"/>
        <w:jc w:val="both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E02D98" w:rsidRPr="004167EE" w:rsidRDefault="00E02D98" w:rsidP="00E02D98">
      <w:pPr>
        <w:ind w:left="-426" w:right="-141" w:firstLine="710"/>
        <w:jc w:val="both"/>
        <w:rPr>
          <w:rFonts w:eastAsia="Calibri"/>
          <w:sz w:val="22"/>
          <w:szCs w:val="22"/>
        </w:rPr>
      </w:pPr>
      <w:r w:rsidRPr="004167EE">
        <w:rPr>
          <w:rFonts w:eastAsia="Calibri"/>
          <w:sz w:val="22"/>
          <w:szCs w:val="22"/>
        </w:rPr>
        <w:t>Гарантия не распространятся на изделия, вышедшие из строя не по вине производителя (несоблюдение инструкций изготовителя, изменение объемных размеров культи инвалида).</w:t>
      </w:r>
      <w:r w:rsidRPr="004167EE">
        <w:rPr>
          <w:color w:val="000000"/>
          <w:spacing w:val="4"/>
          <w:sz w:val="22"/>
          <w:szCs w:val="22"/>
        </w:rPr>
        <w:t xml:space="preserve"> Гарантийный срок на протезно-ортопедические изделия устанавливается со дня выдачи готового изделия в эксплуатацию </w:t>
      </w:r>
      <w:r w:rsidRPr="004167EE">
        <w:rPr>
          <w:color w:val="000000"/>
          <w:sz w:val="22"/>
          <w:szCs w:val="22"/>
        </w:rPr>
        <w:t xml:space="preserve">и составляет: </w:t>
      </w:r>
      <w:r w:rsidRPr="004167EE">
        <w:rPr>
          <w:bCs/>
          <w:color w:val="000000"/>
          <w:sz w:val="22"/>
          <w:szCs w:val="22"/>
        </w:rPr>
        <w:t>на протез кисти</w:t>
      </w:r>
      <w:r w:rsidRPr="004167EE">
        <w:rPr>
          <w:sz w:val="22"/>
          <w:szCs w:val="22"/>
        </w:rPr>
        <w:t xml:space="preserve"> </w:t>
      </w:r>
      <w:r w:rsidRPr="004167EE">
        <w:rPr>
          <w:bCs/>
          <w:color w:val="000000"/>
          <w:sz w:val="22"/>
          <w:szCs w:val="22"/>
        </w:rPr>
        <w:t>не менее 12 месяцев.</w:t>
      </w:r>
    </w:p>
    <w:p w:rsidR="00E02D98" w:rsidRPr="004167EE" w:rsidRDefault="00E02D98" w:rsidP="00E02D98">
      <w:pPr>
        <w:ind w:left="-426" w:right="-141" w:firstLine="710"/>
        <w:contextualSpacing/>
        <w:jc w:val="both"/>
        <w:rPr>
          <w:rFonts w:eastAsia="Lucida Sans Unicode"/>
          <w:kern w:val="2"/>
          <w:sz w:val="22"/>
          <w:szCs w:val="22"/>
        </w:rPr>
      </w:pPr>
      <w:r w:rsidRPr="004167EE">
        <w:rPr>
          <w:rFonts w:eastAsia="Lucida Sans Unicode"/>
          <w:kern w:val="2"/>
          <w:sz w:val="22"/>
          <w:szCs w:val="22"/>
        </w:rPr>
        <w:t xml:space="preserve">В течение этого срока предприятие-изготовитель обязано производить замену или ремонт Изделия бесплатно. </w:t>
      </w:r>
    </w:p>
    <w:p w:rsidR="00E02D98" w:rsidRPr="004167EE" w:rsidRDefault="00E02D98" w:rsidP="00E02D98">
      <w:pPr>
        <w:widowControl w:val="0"/>
        <w:shd w:val="clear" w:color="auto" w:fill="FFFFFF"/>
        <w:autoSpaceDE w:val="0"/>
        <w:autoSpaceDN w:val="0"/>
        <w:adjustRightInd w:val="0"/>
        <w:ind w:left="-426" w:right="-141" w:firstLine="710"/>
        <w:jc w:val="both"/>
        <w:rPr>
          <w:sz w:val="22"/>
          <w:szCs w:val="22"/>
        </w:rPr>
      </w:pPr>
      <w:r w:rsidRPr="004167EE">
        <w:rPr>
          <w:rFonts w:eastAsia="Lucida Sans Unicode"/>
          <w:kern w:val="2"/>
          <w:sz w:val="22"/>
          <w:szCs w:val="22"/>
        </w:rPr>
        <w:t>Срок дополнительной гарантии качества изделия не должен превышать срока службы изделия</w:t>
      </w:r>
      <w:r w:rsidRPr="004167EE">
        <w:rPr>
          <w:color w:val="000000"/>
          <w:sz w:val="22"/>
          <w:szCs w:val="22"/>
        </w:rPr>
        <w:t>.</w:t>
      </w:r>
      <w:r w:rsidRPr="004167EE">
        <w:rPr>
          <w:sz w:val="22"/>
          <w:szCs w:val="22"/>
        </w:rPr>
        <w:t xml:space="preserve"> </w:t>
      </w:r>
    </w:p>
    <w:p w:rsidR="00E02D98" w:rsidRPr="00A045DB" w:rsidRDefault="00E02D98" w:rsidP="00E02D98">
      <w:pPr>
        <w:ind w:left="-426" w:right="-89" w:firstLine="710"/>
        <w:contextualSpacing/>
        <w:jc w:val="both"/>
        <w:rPr>
          <w:b/>
          <w:i/>
          <w:sz w:val="22"/>
          <w:szCs w:val="22"/>
        </w:rPr>
      </w:pPr>
      <w:r w:rsidRPr="00A045DB">
        <w:rPr>
          <w:b/>
          <w:sz w:val="22"/>
          <w:szCs w:val="22"/>
        </w:rPr>
        <w:t xml:space="preserve">Размер обеспечения гарантийных обязательств составляет 1% начальной (максимальной) цены контракта: </w:t>
      </w:r>
      <w:r w:rsidRPr="004167EE">
        <w:rPr>
          <w:b/>
          <w:i/>
          <w:color w:val="FF0000"/>
          <w:sz w:val="22"/>
          <w:szCs w:val="22"/>
        </w:rPr>
        <w:t>24 816 (двадцать четыре тысячи восемьсо</w:t>
      </w:r>
      <w:r>
        <w:rPr>
          <w:b/>
          <w:i/>
          <w:color w:val="FF0000"/>
          <w:sz w:val="22"/>
          <w:szCs w:val="22"/>
        </w:rPr>
        <w:t>т шестнадцать) рублей 29 копеек</w:t>
      </w:r>
      <w:r w:rsidRPr="00A045DB">
        <w:rPr>
          <w:b/>
          <w:i/>
          <w:color w:val="FF0000"/>
          <w:sz w:val="22"/>
          <w:szCs w:val="22"/>
        </w:rPr>
        <w:t>.</w:t>
      </w:r>
      <w:r w:rsidRPr="00A045DB">
        <w:rPr>
          <w:b/>
          <w:i/>
          <w:sz w:val="22"/>
          <w:szCs w:val="22"/>
        </w:rPr>
        <w:t xml:space="preserve">  </w:t>
      </w:r>
    </w:p>
    <w:p w:rsidR="00E02D98" w:rsidRPr="00A045DB" w:rsidRDefault="00E02D98" w:rsidP="00E02D98">
      <w:pPr>
        <w:ind w:left="-426" w:right="-89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45DB">
        <w:rPr>
          <w:rFonts w:eastAsia="Calibri"/>
          <w:sz w:val="22"/>
          <w:szCs w:val="22"/>
          <w:lang w:eastAsia="en-US"/>
        </w:rPr>
        <w:t xml:space="preserve">Обеспечение гарантийных обязательств предоставляется Поставщиком в виде безотзывной банковской гарантии, выданной банком в соответствии со </w:t>
      </w:r>
      <w:hyperlink r:id="rId4" w:history="1">
        <w:r w:rsidRPr="00A045DB">
          <w:rPr>
            <w:rFonts w:eastAsia="Calibri"/>
            <w:sz w:val="22"/>
            <w:szCs w:val="22"/>
            <w:lang w:eastAsia="en-US"/>
          </w:rPr>
          <w:t>статьей 45</w:t>
        </w:r>
      </w:hyperlink>
      <w:r w:rsidRPr="00A045DB">
        <w:rPr>
          <w:rFonts w:eastAsia="Calibri"/>
          <w:sz w:val="22"/>
          <w:szCs w:val="22"/>
          <w:lang w:eastAsia="en-US"/>
        </w:rPr>
        <w:t xml:space="preserve"> Федерального закона N 44-ФЗ, или внесением денежных средств на указанный Заказчиком счет по следующим реквизитам: </w:t>
      </w:r>
    </w:p>
    <w:p w:rsidR="00E02D98" w:rsidRPr="00616944" w:rsidRDefault="00E02D98" w:rsidP="00E02D98">
      <w:pPr>
        <w:ind w:left="-426" w:right="-89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45DB">
        <w:rPr>
          <w:rFonts w:eastAsia="Calibri"/>
          <w:i/>
          <w:sz w:val="22"/>
          <w:szCs w:val="22"/>
          <w:lang w:eastAsia="en-US"/>
        </w:rPr>
        <w:t>Фонд социального страхования Российской Федерации (Государственное учреждение - Магаданское региональное отделение Фонда социального страхования Российской Федерации л/с 05474010020), ИНН 4909039203, КПП 490901001. Корсчет (единый казначейский счет): 40102810945370000040. Расчетный счет (казначейский счет) №03252643000000074700, ОТДЕЛЕНИЕ МАГАДАН БАНКА РОССИИ//УФК по Магаданской области г. Магадан, БИК 014442501.</w:t>
      </w:r>
    </w:p>
    <w:p w:rsidR="00E02D98" w:rsidRPr="00616944" w:rsidRDefault="00E02D98" w:rsidP="00E02D98">
      <w:pPr>
        <w:ind w:left="-426" w:right="-89" w:firstLine="71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16944">
        <w:rPr>
          <w:rFonts w:eastAsia="Calibri"/>
          <w:i/>
          <w:sz w:val="22"/>
          <w:szCs w:val="22"/>
          <w:lang w:eastAsia="en-US"/>
        </w:rPr>
        <w:t>Назначение платежа: обеспечение гарантийных обязательств по Государственному контракту №________от __. __________2021 года на___________ (указать предмет Государственного контракта).</w:t>
      </w:r>
    </w:p>
    <w:p w:rsidR="00E02D98" w:rsidRPr="00616944" w:rsidRDefault="00E02D98" w:rsidP="00E02D98">
      <w:pPr>
        <w:ind w:left="-426" w:right="-89" w:firstLine="71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16944">
        <w:rPr>
          <w:rFonts w:eastAsia="Calibri"/>
          <w:sz w:val="22"/>
          <w:szCs w:val="22"/>
          <w:lang w:eastAsia="en-US"/>
        </w:rPr>
        <w:t>Способ обеспечения исполнения гарантийных обязательств определяется Поставщиком самостоятельно.</w:t>
      </w:r>
    </w:p>
    <w:p w:rsidR="00E02D98" w:rsidRPr="004167EE" w:rsidRDefault="00E02D98" w:rsidP="00E02D98">
      <w:pPr>
        <w:widowControl w:val="0"/>
        <w:shd w:val="clear" w:color="auto" w:fill="FFFFFF"/>
        <w:autoSpaceDE w:val="0"/>
        <w:autoSpaceDN w:val="0"/>
        <w:adjustRightInd w:val="0"/>
        <w:ind w:left="-426" w:right="-141" w:firstLine="710"/>
        <w:jc w:val="both"/>
        <w:rPr>
          <w:sz w:val="22"/>
          <w:szCs w:val="22"/>
        </w:rPr>
      </w:pPr>
      <w:r w:rsidRPr="004167EE">
        <w:rPr>
          <w:b/>
          <w:sz w:val="22"/>
          <w:szCs w:val="22"/>
        </w:rPr>
        <w:t>Место выполнения работ</w:t>
      </w:r>
      <w:r w:rsidRPr="004167EE">
        <w:rPr>
          <w:sz w:val="22"/>
          <w:szCs w:val="22"/>
        </w:rPr>
        <w:t>: Российская Федерация, по месту нахождения Исполнителя в г. Москва.</w:t>
      </w:r>
    </w:p>
    <w:p w:rsidR="00E02D98" w:rsidRPr="004167EE" w:rsidRDefault="00E02D98" w:rsidP="00E02D98">
      <w:pPr>
        <w:widowControl w:val="0"/>
        <w:shd w:val="clear" w:color="auto" w:fill="FFFFFF"/>
        <w:autoSpaceDE w:val="0"/>
        <w:autoSpaceDN w:val="0"/>
        <w:adjustRightInd w:val="0"/>
        <w:ind w:left="-426" w:right="-141" w:firstLine="710"/>
        <w:jc w:val="both"/>
        <w:rPr>
          <w:sz w:val="22"/>
          <w:szCs w:val="22"/>
        </w:rPr>
      </w:pPr>
      <w:r w:rsidRPr="004167EE">
        <w:rPr>
          <w:sz w:val="22"/>
          <w:szCs w:val="22"/>
        </w:rPr>
        <w:t xml:space="preserve">Исполнитель выполняет работу и передает ее результат инвалиду в течение 30 дней с момента обращения Получателя с направлением на выполнение работ по изготовлению Изделия, но не позднее </w:t>
      </w:r>
      <w:r>
        <w:rPr>
          <w:sz w:val="22"/>
          <w:szCs w:val="22"/>
        </w:rPr>
        <w:t xml:space="preserve">03 декабря </w:t>
      </w:r>
      <w:r w:rsidRPr="004167EE">
        <w:rPr>
          <w:sz w:val="22"/>
          <w:szCs w:val="22"/>
        </w:rPr>
        <w:t>2021 года.</w:t>
      </w:r>
    </w:p>
    <w:p w:rsidR="00E02D98" w:rsidRPr="004167EE" w:rsidRDefault="00E02D98" w:rsidP="00E02D98">
      <w:pPr>
        <w:pStyle w:val="a3"/>
        <w:ind w:left="-426" w:right="-141" w:firstLine="710"/>
        <w:jc w:val="both"/>
        <w:rPr>
          <w:rFonts w:ascii="Times New Roman" w:hAnsi="Times New Roman"/>
        </w:rPr>
      </w:pPr>
      <w:r w:rsidRPr="004167EE">
        <w:rPr>
          <w:rFonts w:ascii="Times New Roman" w:hAnsi="Times New Roman"/>
          <w:b/>
        </w:rPr>
        <w:t>Срок выполнения работ</w:t>
      </w:r>
      <w:r w:rsidRPr="004167EE">
        <w:rPr>
          <w:rFonts w:ascii="Times New Roman" w:hAnsi="Times New Roman"/>
        </w:rPr>
        <w:t>:</w:t>
      </w:r>
      <w:r w:rsidRPr="004167EE">
        <w:rPr>
          <w:rFonts w:ascii="Times New Roman" w:hAnsi="Times New Roman"/>
          <w:b/>
        </w:rPr>
        <w:t xml:space="preserve"> </w:t>
      </w:r>
      <w:r w:rsidRPr="004167EE">
        <w:rPr>
          <w:rFonts w:ascii="Times New Roman" w:hAnsi="Times New Roman"/>
        </w:rPr>
        <w:t xml:space="preserve">с момента заключения государственного контракта и по </w:t>
      </w:r>
      <w:r>
        <w:rPr>
          <w:rFonts w:ascii="Times New Roman" w:hAnsi="Times New Roman"/>
        </w:rPr>
        <w:t xml:space="preserve">03 декабря </w:t>
      </w:r>
      <w:r w:rsidRPr="004167EE">
        <w:rPr>
          <w:rFonts w:ascii="Times New Roman" w:hAnsi="Times New Roman"/>
        </w:rPr>
        <w:t>2021 года.</w:t>
      </w:r>
    </w:p>
    <w:p w:rsidR="00E02D98" w:rsidRDefault="00E02D98" w:rsidP="00E02D98">
      <w:pPr>
        <w:widowControl w:val="0"/>
        <w:suppressAutoHyphens/>
        <w:autoSpaceDN w:val="0"/>
        <w:ind w:left="-426" w:right="-89" w:firstLine="710"/>
        <w:jc w:val="both"/>
        <w:rPr>
          <w:rFonts w:eastAsia="Lucida Sans Unicode"/>
          <w:b/>
          <w:bCs/>
          <w:color w:val="000000"/>
          <w:sz w:val="22"/>
          <w:u w:val="single"/>
          <w:lang w:eastAsia="en-US" w:bidi="en-US"/>
        </w:rPr>
      </w:pPr>
    </w:p>
    <w:p w:rsidR="00826186" w:rsidRDefault="00826186">
      <w:bookmarkStart w:id="0" w:name="_GoBack"/>
      <w:bookmarkEnd w:id="0"/>
    </w:p>
    <w:sectPr w:rsidR="0082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8"/>
    <w:rsid w:val="00826186"/>
    <w:rsid w:val="00E02D98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F36E-F9C1-48D5-A2DA-855FA46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E02D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E02D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36D2C41E04BB697ABC25A10810E46A4BA1F799F51B35074DF8584A33F759A9FB7D39EB6BA715D1A3DAB58BF7E0BA788350000ESCb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Матьков Константин Петрович</dc:creator>
  <cp:keywords/>
  <dc:description/>
  <cp:lastModifiedBy>Матьков Константин Петрович</cp:lastModifiedBy>
  <cp:revision>1</cp:revision>
  <dcterms:created xsi:type="dcterms:W3CDTF">2021-09-29T21:57:00Z</dcterms:created>
  <dcterms:modified xsi:type="dcterms:W3CDTF">2021-09-29T21:57:00Z</dcterms:modified>
</cp:coreProperties>
</file>