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94" w:rsidRPr="002B1DB7" w:rsidRDefault="007C4739" w:rsidP="007C4739">
      <w:pPr>
        <w:pStyle w:val="aff"/>
        <w:spacing w:after="240"/>
        <w:rPr>
          <w:b w:val="0"/>
          <w:sz w:val="24"/>
          <w:szCs w:val="24"/>
        </w:rPr>
      </w:pPr>
      <w:r w:rsidRPr="002B1DB7">
        <w:rPr>
          <w:b w:val="0"/>
          <w:sz w:val="28"/>
          <w:szCs w:val="28"/>
        </w:rPr>
        <w:t xml:space="preserve">Техническое задание </w:t>
      </w:r>
    </w:p>
    <w:p w:rsidR="00346C22" w:rsidRPr="0005525A" w:rsidRDefault="00346C22" w:rsidP="00346C22">
      <w:pPr>
        <w:widowControl w:val="0"/>
        <w:jc w:val="center"/>
        <w:rPr>
          <w:rFonts w:eastAsia="Arial Unicode MS"/>
          <w:kern w:val="1"/>
          <w:sz w:val="26"/>
          <w:szCs w:val="26"/>
        </w:rPr>
      </w:pPr>
      <w:r w:rsidRPr="0005525A">
        <w:rPr>
          <w:sz w:val="26"/>
          <w:szCs w:val="26"/>
        </w:rPr>
        <w:t>на выполнение работ по обеспечению застрахованного лица, получившего повреждение здоровья вследствие несчастного случая на производстве, протезом бедра модульным</w:t>
      </w:r>
      <w:r w:rsidRPr="00346C22">
        <w:rPr>
          <w:rFonts w:eastAsia="Arial Unicode MS"/>
          <w:kern w:val="1"/>
          <w:sz w:val="26"/>
          <w:szCs w:val="26"/>
        </w:rPr>
        <w:t xml:space="preserve"> </w:t>
      </w:r>
      <w:r w:rsidRPr="0005525A">
        <w:rPr>
          <w:rFonts w:eastAsia="Arial Unicode MS"/>
          <w:kern w:val="1"/>
          <w:sz w:val="26"/>
          <w:szCs w:val="26"/>
        </w:rPr>
        <w:t>с микропроцессорным управлением</w:t>
      </w:r>
    </w:p>
    <w:p w:rsidR="00346C22" w:rsidRPr="0005525A" w:rsidRDefault="00346C22" w:rsidP="00346C22">
      <w:pPr>
        <w:widowControl w:val="0"/>
        <w:tabs>
          <w:tab w:val="left" w:pos="708"/>
        </w:tabs>
        <w:jc w:val="center"/>
        <w:rPr>
          <w:sz w:val="26"/>
          <w:szCs w:val="26"/>
        </w:rPr>
      </w:pPr>
    </w:p>
    <w:p w:rsidR="002B1DB7" w:rsidRDefault="002B1DB7" w:rsidP="002B1DB7">
      <w:pPr>
        <w:jc w:val="both"/>
        <w:rPr>
          <w:lang w:eastAsia="ar-SA"/>
        </w:rPr>
      </w:pPr>
      <w:r>
        <w:rPr>
          <w:lang w:eastAsia="ar-SA"/>
        </w:rPr>
        <w:t>г. Пенза</w:t>
      </w:r>
      <w:r>
        <w:rPr>
          <w:lang w:eastAsia="ar-SA"/>
        </w:rPr>
        <w:tab/>
      </w:r>
    </w:p>
    <w:p w:rsidR="002B1DB7" w:rsidRDefault="002B1DB7" w:rsidP="002B1DB7">
      <w:pPr>
        <w:jc w:val="both"/>
        <w:rPr>
          <w:lang w:eastAsia="ar-SA"/>
        </w:rPr>
      </w:pPr>
    </w:p>
    <w:tbl>
      <w:tblPr>
        <w:tblW w:w="10915" w:type="dxa"/>
        <w:tblInd w:w="-714" w:type="dxa"/>
        <w:tblLayout w:type="fixed"/>
        <w:tblCellMar>
          <w:left w:w="10" w:type="dxa"/>
          <w:right w:w="10" w:type="dxa"/>
        </w:tblCellMar>
        <w:tblLook w:val="04A0" w:firstRow="1" w:lastRow="0" w:firstColumn="1" w:lastColumn="0" w:noHBand="0" w:noVBand="1"/>
      </w:tblPr>
      <w:tblGrid>
        <w:gridCol w:w="567"/>
        <w:gridCol w:w="10348"/>
      </w:tblGrid>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1</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Наименование Заказчика: </w:t>
            </w:r>
            <w:r>
              <w:rPr>
                <w:szCs w:val="26"/>
                <w:lang w:eastAsia="ar-SA"/>
              </w:rPr>
              <w:t xml:space="preserve">Государственное учреждение – Пензенское региональное отделение Фонда социального страхования Российской Федерации, 440000, г. Пенза, ул. Московская, 19, телефон (8412) 59-06-00, факс (8412) 59-07-47, </w:t>
            </w:r>
            <w:r>
              <w:rPr>
                <w:szCs w:val="28"/>
                <w:lang w:val="en-US" w:eastAsia="ar-SA"/>
              </w:rPr>
              <w:t>e</w:t>
            </w:r>
            <w:r>
              <w:rPr>
                <w:szCs w:val="28"/>
                <w:lang w:eastAsia="ar-SA"/>
              </w:rPr>
              <w:t>-</w:t>
            </w:r>
            <w:r>
              <w:rPr>
                <w:szCs w:val="28"/>
                <w:lang w:val="en-US" w:eastAsia="ar-SA"/>
              </w:rPr>
              <w:t>mail</w:t>
            </w:r>
            <w:r>
              <w:rPr>
                <w:szCs w:val="28"/>
                <w:lang w:eastAsia="ar-SA"/>
              </w:rPr>
              <w:t xml:space="preserve">: </w:t>
            </w:r>
            <w:hyperlink r:id="rId8" w:history="1">
              <w:r>
                <w:rPr>
                  <w:color w:val="0000FF"/>
                  <w:u w:val="single"/>
                  <w:lang w:eastAsia="ar-SA"/>
                </w:rPr>
                <w:t>info@ro58.fss.ru</w:t>
              </w:r>
            </w:hyperlink>
            <w:r>
              <w:rPr>
                <w:color w:val="0000FF"/>
                <w:lang w:eastAsia="ar-SA"/>
              </w:rPr>
              <w:t>,</w:t>
            </w:r>
            <w:r>
              <w:rPr>
                <w:szCs w:val="28"/>
                <w:lang w:eastAsia="ar-SA"/>
              </w:rPr>
              <w:t xml:space="preserve"> </w:t>
            </w:r>
            <w:r>
              <w:rPr>
                <w:color w:val="0000FF"/>
                <w:lang w:val="en-US" w:eastAsia="ar-SA"/>
              </w:rPr>
              <w:t>tender</w:t>
            </w:r>
            <w:r>
              <w:rPr>
                <w:color w:val="0000FF"/>
                <w:lang w:eastAsia="ar-SA"/>
              </w:rPr>
              <w:t>@</w:t>
            </w:r>
            <w:proofErr w:type="spellStart"/>
            <w:r>
              <w:rPr>
                <w:color w:val="0000FF"/>
                <w:lang w:val="en-US" w:eastAsia="ar-SA"/>
              </w:rPr>
              <w:t>ro</w:t>
            </w:r>
            <w:proofErr w:type="spellEnd"/>
            <w:r>
              <w:rPr>
                <w:color w:val="0000FF"/>
                <w:lang w:eastAsia="ar-SA"/>
              </w:rPr>
              <w:t>58.</w:t>
            </w:r>
            <w:proofErr w:type="spellStart"/>
            <w:r>
              <w:rPr>
                <w:color w:val="0000FF"/>
                <w:lang w:val="en-US" w:eastAsia="ar-SA"/>
              </w:rPr>
              <w:t>fss</w:t>
            </w:r>
            <w:proofErr w:type="spellEnd"/>
            <w:r>
              <w:rPr>
                <w:color w:val="0000FF"/>
                <w:lang w:eastAsia="ar-SA"/>
              </w:rPr>
              <w:t>.</w:t>
            </w:r>
            <w:proofErr w:type="spellStart"/>
            <w:r>
              <w:rPr>
                <w:color w:val="0000FF"/>
                <w:lang w:val="en-US" w:eastAsia="ar-SA"/>
              </w:rPr>
              <w:t>ru</w:t>
            </w:r>
            <w:proofErr w:type="spellEnd"/>
          </w:p>
        </w:tc>
      </w:tr>
      <w:tr w:rsidR="002B1DB7" w:rsidTr="00AF6517">
        <w:trPr>
          <w:trHeight w:val="553"/>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2</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Источник финансирования заказа: </w:t>
            </w:r>
            <w:r>
              <w:rPr>
                <w:szCs w:val="26"/>
                <w:lang w:eastAsia="ar-SA"/>
              </w:rPr>
              <w:t>Средства бюджета Фонда социального страхования Российской Федерации, предусмотренные на осуществление обязательного социального страхования от несчастных случаев на производстве и профессиональных заболеваний.</w:t>
            </w:r>
          </w:p>
        </w:tc>
      </w:tr>
      <w:tr w:rsidR="002B1DB7" w:rsidTr="00AF6517">
        <w:trPr>
          <w:trHeight w:val="561"/>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overflowPunct w:val="0"/>
              <w:autoSpaceDE w:val="0"/>
              <w:snapToGrid w:val="0"/>
              <w:jc w:val="center"/>
              <w:rPr>
                <w:lang w:eastAsia="ar-SA"/>
              </w:rPr>
            </w:pPr>
            <w:r>
              <w:rPr>
                <w:lang w:eastAsia="ar-SA"/>
              </w:rPr>
              <w:t>3</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keepNext/>
              <w:overflowPunct w:val="0"/>
              <w:autoSpaceDE w:val="0"/>
              <w:snapToGrid w:val="0"/>
              <w:jc w:val="both"/>
            </w:pPr>
            <w:r>
              <w:rPr>
                <w:lang w:eastAsia="ar-SA"/>
              </w:rPr>
              <w:t xml:space="preserve">Наименование предмета аукциона: </w:t>
            </w:r>
            <w:r w:rsidR="00346C22" w:rsidRPr="00004DC2">
              <w:rPr>
                <w:szCs w:val="26"/>
                <w:lang w:eastAsia="ar-SA"/>
              </w:rPr>
              <w:t>выполнение работ по обеспечению застрахованного лица, получившего повреждение здоровья вследствие несчастного случая на производстве, протезом бедра модульным с микропроцессорным управлением</w:t>
            </w:r>
            <w:r w:rsidR="00CD11F2" w:rsidRPr="00004DC2">
              <w:rPr>
                <w:szCs w:val="26"/>
                <w:lang w:eastAsia="ar-SA"/>
              </w:rPr>
              <w:t>.</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4</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rPr>
                <w:lang w:eastAsia="ar-SA"/>
              </w:rPr>
            </w:pPr>
            <w:r>
              <w:rPr>
                <w:lang w:eastAsia="ar-SA"/>
              </w:rPr>
              <w:t xml:space="preserve">Место выполнения работ: г. Пенза, Пензенская обл. </w:t>
            </w:r>
          </w:p>
          <w:p w:rsidR="002B1DB7" w:rsidRDefault="002B1DB7" w:rsidP="00766408">
            <w:pPr>
              <w:snapToGrid w:val="0"/>
              <w:jc w:val="both"/>
              <w:rPr>
                <w:lang w:eastAsia="ar-SA"/>
              </w:rPr>
            </w:pPr>
            <w:r>
              <w:rPr>
                <w:lang w:eastAsia="ar-SA"/>
              </w:rPr>
              <w:t>Предоставить Получателю право выбора места передачи Изделия (по месту жительства, по месту нахождения пунктов приема по обслуживанию Получателя (при наличии), организованных Исполнителем на территории региона Заказчика).</w:t>
            </w:r>
          </w:p>
          <w:p w:rsidR="002B1DB7" w:rsidRDefault="002B1DB7" w:rsidP="00766408">
            <w:pPr>
              <w:snapToGrid w:val="0"/>
              <w:jc w:val="both"/>
              <w:rPr>
                <w:lang w:eastAsia="ar-SA"/>
              </w:rPr>
            </w:pPr>
            <w:r>
              <w:rPr>
                <w:lang w:eastAsia="ar-SA"/>
              </w:rPr>
              <w:t>Организовать проведение индивидуального обмера, примерки и передачи изготовленного Изделия по месту жительства Получателя в пределах Пензенской области или по согласованию с Получателем по месту нахождения пункта приема по обслуживанию Получателя (в пределах Пензенской области) (при наличии).</w:t>
            </w:r>
          </w:p>
          <w:p w:rsidR="002B1DB7" w:rsidRDefault="002B1DB7" w:rsidP="00766408">
            <w:pPr>
              <w:snapToGrid w:val="0"/>
              <w:jc w:val="both"/>
              <w:rPr>
                <w:lang w:eastAsia="ar-SA"/>
              </w:rPr>
            </w:pPr>
            <w:r>
              <w:rPr>
                <w:lang w:eastAsia="ar-SA"/>
              </w:rPr>
              <w:t>Заблаговременно уведомить Получателя о дате, времени и месте проведения индивидуального обмера, примерки и передачи изготовленного Изделия.</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5</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Сроки выполнения работ: со дня заключения настоящего Контракта по </w:t>
            </w:r>
            <w:r w:rsidR="00004DC2">
              <w:rPr>
                <w:lang w:eastAsia="ar-SA"/>
              </w:rPr>
              <w:t>12 декабря</w:t>
            </w:r>
            <w:r w:rsidR="00407AC2">
              <w:rPr>
                <w:lang w:eastAsia="ar-SA"/>
              </w:rPr>
              <w:t xml:space="preserve"> </w:t>
            </w:r>
            <w:r>
              <w:rPr>
                <w:lang w:eastAsia="ar-SA"/>
              </w:rPr>
              <w:t>202</w:t>
            </w:r>
            <w:r w:rsidR="00407AC2">
              <w:rPr>
                <w:lang w:eastAsia="ar-SA"/>
              </w:rPr>
              <w:t>1</w:t>
            </w:r>
            <w:r>
              <w:rPr>
                <w:lang w:eastAsia="ar-SA"/>
              </w:rPr>
              <w:t xml:space="preserve"> года. </w:t>
            </w:r>
          </w:p>
          <w:p w:rsidR="002B1DB7" w:rsidRDefault="002B1DB7" w:rsidP="00766408">
            <w:pPr>
              <w:snapToGrid w:val="0"/>
              <w:jc w:val="both"/>
              <w:rPr>
                <w:lang w:eastAsia="ar-SA"/>
              </w:rPr>
            </w:pPr>
            <w:r>
              <w:rPr>
                <w:lang w:eastAsia="ar-SA"/>
              </w:rPr>
              <w:t>Исполнитель приступает к выполнению работ по обеспечению Получателя Изделием со дня обращения Получателя к Исполнителю или с момента получения списка Получателя от Заказчика. Обеспечить выполнение работ при представлении Получателем паспорта и Направления, выдаваемого Заказчиком.</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6</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widowControl w:val="0"/>
              <w:spacing w:line="100" w:lineRule="atLeast"/>
              <w:jc w:val="both"/>
              <w:rPr>
                <w:lang w:eastAsia="ar-SA"/>
              </w:rPr>
            </w:pPr>
            <w:r>
              <w:rPr>
                <w:lang w:eastAsia="ar-SA"/>
              </w:rPr>
              <w:t xml:space="preserve">Начальная (максимальная) цена контракта: </w:t>
            </w:r>
            <w:r w:rsidR="005F2978" w:rsidRPr="005F2978">
              <w:rPr>
                <w:lang w:eastAsia="ar-SA"/>
              </w:rPr>
              <w:t>3640878</w:t>
            </w:r>
            <w:r w:rsidR="00CD11F2" w:rsidRPr="00CD11F2">
              <w:rPr>
                <w:lang w:eastAsia="ar-SA"/>
              </w:rPr>
              <w:t xml:space="preserve"> (</w:t>
            </w:r>
            <w:r w:rsidR="006A249B">
              <w:rPr>
                <w:lang w:eastAsia="ar-SA"/>
              </w:rPr>
              <w:t xml:space="preserve">три </w:t>
            </w:r>
            <w:r w:rsidR="00FD3E21">
              <w:rPr>
                <w:lang w:eastAsia="ar-SA"/>
              </w:rPr>
              <w:t xml:space="preserve">миллиона </w:t>
            </w:r>
            <w:r w:rsidR="005F2978">
              <w:rPr>
                <w:lang w:eastAsia="ar-SA"/>
              </w:rPr>
              <w:t>шест</w:t>
            </w:r>
            <w:r w:rsidR="006A249B">
              <w:rPr>
                <w:lang w:eastAsia="ar-SA"/>
              </w:rPr>
              <w:t xml:space="preserve">ьсот </w:t>
            </w:r>
            <w:r w:rsidR="005F2978">
              <w:rPr>
                <w:lang w:eastAsia="ar-SA"/>
              </w:rPr>
              <w:t>сорок</w:t>
            </w:r>
            <w:r w:rsidR="006A249B">
              <w:rPr>
                <w:lang w:eastAsia="ar-SA"/>
              </w:rPr>
              <w:t xml:space="preserve"> тысяч восемьсот </w:t>
            </w:r>
            <w:r w:rsidR="005F2978">
              <w:rPr>
                <w:lang w:eastAsia="ar-SA"/>
              </w:rPr>
              <w:t>семьдесят восемь</w:t>
            </w:r>
            <w:r w:rsidR="00CD11F2" w:rsidRPr="00CD11F2">
              <w:rPr>
                <w:lang w:eastAsia="ar-SA"/>
              </w:rPr>
              <w:t xml:space="preserve">) руб. </w:t>
            </w:r>
            <w:r w:rsidR="005F2978" w:rsidRPr="005F2978">
              <w:rPr>
                <w:lang w:eastAsia="ar-SA"/>
              </w:rPr>
              <w:t>95</w:t>
            </w:r>
            <w:r w:rsidR="00CD11F2" w:rsidRPr="00CD11F2">
              <w:rPr>
                <w:lang w:eastAsia="ar-SA"/>
              </w:rPr>
              <w:t xml:space="preserve"> коп.</w:t>
            </w:r>
          </w:p>
          <w:p w:rsidR="002B1DB7" w:rsidRDefault="002B1DB7" w:rsidP="00766408">
            <w:pPr>
              <w:widowControl w:val="0"/>
              <w:spacing w:line="100" w:lineRule="atLeast"/>
              <w:jc w:val="both"/>
            </w:pPr>
            <w:r>
              <w:rPr>
                <w:bCs/>
                <w:iCs/>
                <w:color w:val="000000"/>
                <w:spacing w:val="-6"/>
                <w:lang w:eastAsia="ar-SA"/>
              </w:rPr>
              <w:t xml:space="preserve">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содержащихся в программе реабилитации пострадавшего, доставке результата работ Получателю, а также налоги, сборы и иные обязательные платежи, </w:t>
            </w:r>
            <w:r>
              <w:rPr>
                <w:spacing w:val="-6"/>
                <w:lang w:eastAsia="ar-SA"/>
              </w:rPr>
              <w:t>которые Исполнитель должен уплатить в связи с выполнением обязательств по Контракту в соответствии с законодательством Российской Федерации.</w:t>
            </w:r>
          </w:p>
          <w:p w:rsidR="002B1DB7" w:rsidRDefault="002B1DB7" w:rsidP="00766408">
            <w:pPr>
              <w:jc w:val="both"/>
              <w:rPr>
                <w:lang w:eastAsia="ar-SA"/>
              </w:rPr>
            </w:pPr>
            <w:r>
              <w:rPr>
                <w:lang w:eastAsia="ar-SA"/>
              </w:rPr>
              <w:t>Обоснование начальной (максимальной) цены контракта:</w:t>
            </w:r>
          </w:p>
          <w:p w:rsidR="00D86819" w:rsidRPr="00D86819" w:rsidRDefault="00D86819" w:rsidP="00D86819">
            <w:pPr>
              <w:jc w:val="both"/>
              <w:rPr>
                <w:rFonts w:ascii="Times New Roman CYR" w:eastAsia="Times New Roman CYR" w:hAnsi="Times New Roman CYR" w:cs="Times New Roman CYR"/>
                <w:lang w:eastAsia="ar-SA"/>
              </w:rPr>
            </w:pPr>
            <w:r w:rsidRPr="00D86819">
              <w:rPr>
                <w:rFonts w:ascii="Times New Roman CYR" w:eastAsia="Times New Roman CYR" w:hAnsi="Times New Roman CYR" w:cs="Times New Roman CYR"/>
                <w:lang w:eastAsia="ar-SA"/>
              </w:rPr>
              <w:t>Используемый метод определения начальной (максимальной) цены контракта -</w:t>
            </w:r>
          </w:p>
          <w:p w:rsidR="002B1DB7" w:rsidRDefault="00D86819" w:rsidP="00D86819">
            <w:pPr>
              <w:autoSpaceDE w:val="0"/>
              <w:jc w:val="both"/>
            </w:pPr>
            <w:r w:rsidRPr="00D86819">
              <w:rPr>
                <w:rFonts w:ascii="Times New Roman CYR" w:eastAsia="Times New Roman CYR" w:hAnsi="Times New Roman CYR" w:cs="Times New Roman CYR"/>
                <w:lang w:eastAsia="ar-SA"/>
              </w:rPr>
              <w:t>метод сопоставимых рыночных цен (размещение на официальном сайте закупок товаров, работ, услуг запросов о предоставлении ценовой информации поставщиками (подрядчикам, исполнителям), обладающих опытом поставок соответствующих товаров, работ, услуг) на основании п.18 ст. 22 Федерального закона от 05.04.2013 № 44 ФЗ «О контрактной системе в сфере закупок товаров, работ, услуг для обеспечения государственных и муниципальных нужд». Приложение к техническому заданию</w:t>
            </w:r>
          </w:p>
        </w:tc>
      </w:tr>
      <w:tr w:rsidR="002B1DB7" w:rsidTr="00AF6517">
        <w:trPr>
          <w:trHeight w:val="419"/>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7</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snapToGrid w:val="0"/>
              <w:jc w:val="both"/>
            </w:pPr>
            <w:r>
              <w:rPr>
                <w:szCs w:val="20"/>
                <w:lang w:eastAsia="ar-SA"/>
              </w:rPr>
              <w:t xml:space="preserve">Форма, сроки и порядок оплаты работ: </w:t>
            </w:r>
            <w:r>
              <w:rPr>
                <w:lang w:eastAsia="ar-SA"/>
              </w:rPr>
              <w:t xml:space="preserve">Оплата производится </w:t>
            </w:r>
            <w:r w:rsidR="00744070">
              <w:rPr>
                <w:lang w:eastAsia="ar-SA"/>
              </w:rPr>
              <w:t>после</w:t>
            </w:r>
            <w:r>
              <w:rPr>
                <w:lang w:eastAsia="ar-SA"/>
              </w:rPr>
              <w:t xml:space="preserve"> выполнения работ по безналичному расчету с расчетного счета Заказчика на расчетный счет Исполнителя в течение 5 (пяти) </w:t>
            </w:r>
            <w:r w:rsidR="006A249B">
              <w:rPr>
                <w:lang w:eastAsia="ar-SA"/>
              </w:rPr>
              <w:t>рабочих</w:t>
            </w:r>
            <w:r>
              <w:rPr>
                <w:lang w:eastAsia="ar-SA"/>
              </w:rPr>
              <w:t xml:space="preserve"> дней после подписания Сторонами Акта о приемке выполненных работ</w:t>
            </w:r>
            <w:r w:rsidR="00081DC7">
              <w:rPr>
                <w:lang w:eastAsia="ar-SA"/>
              </w:rPr>
              <w:t xml:space="preserve"> </w:t>
            </w:r>
            <w:r w:rsidR="00081DC7" w:rsidRPr="00081DC7">
              <w:rPr>
                <w:lang w:eastAsia="ar-SA"/>
              </w:rPr>
              <w:t>на основании выставленного Исполнителем счета.</w:t>
            </w:r>
            <w:r>
              <w:rPr>
                <w:lang w:eastAsia="ar-SA"/>
              </w:rPr>
              <w:t xml:space="preserve"> </w:t>
            </w:r>
          </w:p>
        </w:tc>
      </w:tr>
    </w:tbl>
    <w:p w:rsidR="005209BF" w:rsidRDefault="005209BF" w:rsidP="005209BF">
      <w:pPr>
        <w:rPr>
          <w:rFonts w:eastAsia="Calibri"/>
          <w:b/>
          <w:kern w:val="1"/>
        </w:rPr>
      </w:pPr>
    </w:p>
    <w:p w:rsidR="00AF6517" w:rsidRDefault="00AF6517" w:rsidP="005209BF">
      <w:pPr>
        <w:rPr>
          <w:rFonts w:eastAsia="Calibri"/>
          <w:b/>
          <w:kern w:val="1"/>
        </w:rPr>
      </w:pPr>
    </w:p>
    <w:tbl>
      <w:tblPr>
        <w:tblW w:w="10707" w:type="dxa"/>
        <w:tblInd w:w="-364" w:type="dxa"/>
        <w:tblLayout w:type="fixed"/>
        <w:tblCellMar>
          <w:left w:w="0" w:type="dxa"/>
          <w:right w:w="0" w:type="dxa"/>
        </w:tblCellMar>
        <w:tblLook w:val="0000" w:firstRow="0" w:lastRow="0" w:firstColumn="0" w:lastColumn="0" w:noHBand="0" w:noVBand="0"/>
      </w:tblPr>
      <w:tblGrid>
        <w:gridCol w:w="2212"/>
        <w:gridCol w:w="5518"/>
        <w:gridCol w:w="1276"/>
        <w:gridCol w:w="1701"/>
      </w:tblGrid>
      <w:tr w:rsidR="00AF6517" w:rsidRPr="005209BF" w:rsidTr="00C72F8E">
        <w:tc>
          <w:tcPr>
            <w:tcW w:w="2212" w:type="dxa"/>
            <w:tcBorders>
              <w:top w:val="single" w:sz="4" w:space="0" w:color="000000"/>
              <w:left w:val="single" w:sz="4" w:space="0" w:color="000000"/>
              <w:bottom w:val="single" w:sz="4" w:space="0" w:color="000000"/>
              <w:right w:val="single" w:sz="4" w:space="0" w:color="auto"/>
            </w:tcBorders>
          </w:tcPr>
          <w:p w:rsidR="00AF6517" w:rsidRPr="005209BF" w:rsidRDefault="00AF6517" w:rsidP="00766408">
            <w:pPr>
              <w:widowControl w:val="0"/>
              <w:suppressAutoHyphens/>
              <w:snapToGrid w:val="0"/>
              <w:jc w:val="center"/>
              <w:rPr>
                <w:rFonts w:eastAsia="Arial Unicode MS"/>
                <w:bCs/>
                <w:kern w:val="1"/>
              </w:rPr>
            </w:pPr>
            <w:r w:rsidRPr="005209BF">
              <w:rPr>
                <w:rFonts w:eastAsia="Arial Unicode MS"/>
                <w:kern w:val="1"/>
              </w:rPr>
              <w:lastRenderedPageBreak/>
              <w:t>Наименование изделия</w:t>
            </w:r>
          </w:p>
        </w:tc>
        <w:tc>
          <w:tcPr>
            <w:tcW w:w="5518" w:type="dxa"/>
            <w:tcBorders>
              <w:top w:val="single" w:sz="4" w:space="0" w:color="auto"/>
              <w:left w:val="single" w:sz="4" w:space="0" w:color="auto"/>
              <w:bottom w:val="single" w:sz="4" w:space="0" w:color="auto"/>
              <w:right w:val="single" w:sz="4" w:space="0" w:color="auto"/>
            </w:tcBorders>
          </w:tcPr>
          <w:p w:rsidR="00AF6517" w:rsidRPr="005209BF" w:rsidRDefault="00AF6517" w:rsidP="00766408">
            <w:pPr>
              <w:snapToGrid w:val="0"/>
              <w:jc w:val="center"/>
              <w:rPr>
                <w:bCs/>
              </w:rPr>
            </w:pPr>
            <w:r w:rsidRPr="005209BF">
              <w:t>Функциональные (потребительские) 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Коли</w:t>
            </w:r>
          </w:p>
          <w:p w:rsidR="00AF6517" w:rsidRPr="005209BF" w:rsidRDefault="00AF6517" w:rsidP="00766408">
            <w:pPr>
              <w:widowControl w:val="0"/>
              <w:suppressAutoHyphens/>
              <w:snapToGrid w:val="0"/>
              <w:jc w:val="center"/>
              <w:rPr>
                <w:rFonts w:eastAsia="Arial Unicode MS"/>
                <w:kern w:val="1"/>
              </w:rPr>
            </w:pPr>
            <w:proofErr w:type="spellStart"/>
            <w:r w:rsidRPr="005209BF">
              <w:rPr>
                <w:rFonts w:eastAsia="Arial Unicode MS"/>
                <w:kern w:val="1"/>
              </w:rPr>
              <w:t>чество</w:t>
            </w:r>
            <w:proofErr w:type="spellEnd"/>
          </w:p>
          <w:p w:rsidR="00AF6517" w:rsidRPr="005209BF" w:rsidRDefault="00AF6517" w:rsidP="00766408">
            <w:pPr>
              <w:widowControl w:val="0"/>
              <w:suppressAutoHyphens/>
              <w:jc w:val="center"/>
              <w:rPr>
                <w:rFonts w:eastAsia="Arial Unicode MS"/>
                <w:kern w:val="2"/>
              </w:rPr>
            </w:pPr>
            <w:r w:rsidRPr="005209BF">
              <w:rPr>
                <w:rFonts w:eastAsia="Arial Unicode MS"/>
                <w:kern w:val="1"/>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Начальная (максимальная)</w:t>
            </w:r>
          </w:p>
          <w:p w:rsidR="00AF6517" w:rsidRPr="005209BF" w:rsidRDefault="00AF6517" w:rsidP="00766408">
            <w:pPr>
              <w:widowControl w:val="0"/>
              <w:suppressAutoHyphens/>
              <w:snapToGrid w:val="0"/>
              <w:jc w:val="center"/>
              <w:rPr>
                <w:rFonts w:eastAsia="Arial Unicode MS"/>
                <w:kern w:val="1"/>
              </w:rPr>
            </w:pPr>
            <w:r w:rsidRPr="005209BF">
              <w:rPr>
                <w:rFonts w:eastAsia="Arial Unicode MS"/>
                <w:kern w:val="1"/>
              </w:rPr>
              <w:t>цена за единицу</w:t>
            </w:r>
          </w:p>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(руб.)</w:t>
            </w:r>
          </w:p>
        </w:tc>
      </w:tr>
      <w:tr w:rsidR="00AF6517" w:rsidRPr="007C4739" w:rsidTr="00C72F8E">
        <w:tc>
          <w:tcPr>
            <w:tcW w:w="2212" w:type="dxa"/>
            <w:tcBorders>
              <w:top w:val="single" w:sz="4" w:space="0" w:color="000000"/>
              <w:left w:val="single" w:sz="4" w:space="0" w:color="000000"/>
              <w:bottom w:val="single" w:sz="4" w:space="0" w:color="000000"/>
              <w:right w:val="single" w:sz="4" w:space="0" w:color="auto"/>
            </w:tcBorders>
            <w:vAlign w:val="center"/>
          </w:tcPr>
          <w:p w:rsidR="00AF6517" w:rsidRDefault="00383190" w:rsidP="00004DC2">
            <w:pPr>
              <w:jc w:val="center"/>
              <w:rPr>
                <w:szCs w:val="26"/>
                <w:lang w:eastAsia="ar-SA"/>
              </w:rPr>
            </w:pPr>
            <w:r w:rsidRPr="00383190">
              <w:rPr>
                <w:rFonts w:eastAsia="Arial Unicode MS"/>
                <w:kern w:val="1"/>
              </w:rPr>
              <w:t xml:space="preserve">Протез </w:t>
            </w:r>
            <w:r w:rsidR="00004DC2" w:rsidRPr="00004DC2">
              <w:rPr>
                <w:szCs w:val="26"/>
                <w:lang w:eastAsia="ar-SA"/>
              </w:rPr>
              <w:t>бедра модульным с микропроцессорным управлением</w:t>
            </w:r>
          </w:p>
          <w:p w:rsidR="00004DC2" w:rsidRDefault="00004DC2" w:rsidP="00004DC2">
            <w:pPr>
              <w:jc w:val="center"/>
              <w:rPr>
                <w:rFonts w:eastAsia="Arial Unicode MS"/>
              </w:rPr>
            </w:pPr>
          </w:p>
          <w:p w:rsidR="00AF6517" w:rsidRPr="007C4739" w:rsidRDefault="006A249B" w:rsidP="00766408">
            <w:pPr>
              <w:jc w:val="center"/>
              <w:rPr>
                <w:rFonts w:eastAsia="Arial Unicode MS"/>
              </w:rPr>
            </w:pPr>
            <w:r w:rsidRPr="006A249B">
              <w:rPr>
                <w:rFonts w:eastAsia="Arial Unicode MS"/>
              </w:rPr>
              <w:t>ОКПД 2 - 32.50.22.121</w:t>
            </w:r>
          </w:p>
        </w:tc>
        <w:tc>
          <w:tcPr>
            <w:tcW w:w="5518" w:type="dxa"/>
            <w:tcBorders>
              <w:top w:val="single" w:sz="4" w:space="0" w:color="auto"/>
              <w:left w:val="single" w:sz="4" w:space="0" w:color="auto"/>
              <w:bottom w:val="single" w:sz="4" w:space="0" w:color="auto"/>
              <w:right w:val="single" w:sz="4" w:space="0" w:color="auto"/>
            </w:tcBorders>
          </w:tcPr>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 xml:space="preserve">Протез бедра модульный с микропроцессорным управлением (протез бедра модульный с внешним источником энергии) </w:t>
            </w:r>
            <w:r>
              <w:rPr>
                <w:rFonts w:eastAsia="Arial Unicode MS"/>
                <w:kern w:val="1"/>
              </w:rPr>
              <w:t xml:space="preserve">должен быть </w:t>
            </w:r>
            <w:r w:rsidRPr="00004DC2">
              <w:rPr>
                <w:rFonts w:eastAsia="Arial Unicode MS"/>
                <w:kern w:val="1"/>
              </w:rPr>
              <w:t>изготовлен индивидуально по слепку и име</w:t>
            </w:r>
            <w:r>
              <w:rPr>
                <w:rFonts w:eastAsia="Arial Unicode MS"/>
                <w:kern w:val="1"/>
              </w:rPr>
              <w:t>ть</w:t>
            </w:r>
            <w:r w:rsidRPr="00004DC2">
              <w:rPr>
                <w:rFonts w:eastAsia="Arial Unicode MS"/>
                <w:kern w:val="1"/>
              </w:rPr>
              <w:t xml:space="preserve"> следующие характеристики:</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несущая приемная гильза</w:t>
            </w:r>
            <w:r>
              <w:rPr>
                <w:rFonts w:eastAsia="Arial Unicode MS"/>
                <w:kern w:val="1"/>
              </w:rPr>
              <w:t xml:space="preserve"> должна быть</w:t>
            </w:r>
            <w:r w:rsidRPr="00004DC2">
              <w:rPr>
                <w:rFonts w:eastAsia="Arial Unicode MS"/>
                <w:kern w:val="1"/>
              </w:rPr>
              <w:t xml:space="preserve"> из карбона с вкладышем из антисептического </w:t>
            </w:r>
            <w:proofErr w:type="spellStart"/>
            <w:r w:rsidRPr="00004DC2">
              <w:rPr>
                <w:rFonts w:eastAsia="Arial Unicode MS"/>
                <w:kern w:val="1"/>
              </w:rPr>
              <w:t>термолина</w:t>
            </w:r>
            <w:proofErr w:type="spellEnd"/>
            <w:r w:rsidRPr="00004DC2">
              <w:rPr>
                <w:rFonts w:eastAsia="Arial Unicode MS"/>
                <w:kern w:val="1"/>
              </w:rPr>
              <w:t xml:space="preserve"> с молекулами серебра, </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силиконовый чехол</w:t>
            </w:r>
            <w:r>
              <w:t xml:space="preserve"> </w:t>
            </w:r>
            <w:r w:rsidRPr="00004DC2">
              <w:rPr>
                <w:rFonts w:eastAsia="Arial Unicode MS"/>
                <w:kern w:val="1"/>
              </w:rPr>
              <w:t>долж</w:t>
            </w:r>
            <w:r>
              <w:rPr>
                <w:rFonts w:eastAsia="Arial Unicode MS"/>
                <w:kern w:val="1"/>
              </w:rPr>
              <w:t>е</w:t>
            </w:r>
            <w:r w:rsidRPr="00004DC2">
              <w:rPr>
                <w:rFonts w:eastAsia="Arial Unicode MS"/>
                <w:kern w:val="1"/>
              </w:rPr>
              <w:t>н быть с текстильным покрытием,</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крепление</w:t>
            </w:r>
            <w:r>
              <w:t xml:space="preserve"> </w:t>
            </w:r>
            <w:r w:rsidRPr="00004DC2">
              <w:rPr>
                <w:rFonts w:eastAsia="Arial Unicode MS"/>
                <w:kern w:val="1"/>
              </w:rPr>
              <w:t>должн</w:t>
            </w:r>
            <w:r>
              <w:rPr>
                <w:rFonts w:eastAsia="Arial Unicode MS"/>
                <w:kern w:val="1"/>
              </w:rPr>
              <w:t>о</w:t>
            </w:r>
            <w:r w:rsidRPr="00004DC2">
              <w:rPr>
                <w:rFonts w:eastAsia="Arial Unicode MS"/>
                <w:kern w:val="1"/>
              </w:rPr>
              <w:t xml:space="preserve"> быть с помощью замкового устройства для силиконовых чехлов.</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коленный шарнир</w:t>
            </w:r>
            <w:r>
              <w:t xml:space="preserve"> </w:t>
            </w:r>
            <w:r w:rsidRPr="00004DC2">
              <w:rPr>
                <w:rFonts w:eastAsia="Arial Unicode MS"/>
                <w:kern w:val="1"/>
              </w:rPr>
              <w:t>долж</w:t>
            </w:r>
            <w:r>
              <w:rPr>
                <w:rFonts w:eastAsia="Arial Unicode MS"/>
                <w:kern w:val="1"/>
              </w:rPr>
              <w:t>е</w:t>
            </w:r>
            <w:r w:rsidRPr="00004DC2">
              <w:rPr>
                <w:rFonts w:eastAsia="Arial Unicode MS"/>
                <w:kern w:val="1"/>
              </w:rPr>
              <w:t xml:space="preserve">н быть </w:t>
            </w:r>
            <w:proofErr w:type="spellStart"/>
            <w:r w:rsidRPr="00004DC2">
              <w:rPr>
                <w:rFonts w:eastAsia="Arial Unicode MS"/>
                <w:kern w:val="1"/>
              </w:rPr>
              <w:t>одноостный</w:t>
            </w:r>
            <w:proofErr w:type="spellEnd"/>
            <w:r w:rsidRPr="00004DC2">
              <w:rPr>
                <w:rFonts w:eastAsia="Arial Unicode MS"/>
                <w:kern w:val="1"/>
              </w:rPr>
              <w:t xml:space="preserve"> гидравлический с электронным контролем фазы опоры; встроенный микропроцессор долж</w:t>
            </w:r>
            <w:r>
              <w:rPr>
                <w:rFonts w:eastAsia="Arial Unicode MS"/>
                <w:kern w:val="1"/>
              </w:rPr>
              <w:t>е</w:t>
            </w:r>
            <w:r w:rsidRPr="00004DC2">
              <w:rPr>
                <w:rFonts w:eastAsia="Arial Unicode MS"/>
                <w:kern w:val="1"/>
              </w:rPr>
              <w:t>н обрабатыва</w:t>
            </w:r>
            <w:r>
              <w:rPr>
                <w:rFonts w:eastAsia="Arial Unicode MS"/>
                <w:kern w:val="1"/>
              </w:rPr>
              <w:t>ть</w:t>
            </w:r>
            <w:r w:rsidRPr="00004DC2">
              <w:rPr>
                <w:rFonts w:eastAsia="Arial Unicode MS"/>
                <w:kern w:val="1"/>
              </w:rPr>
              <w:t xml:space="preserve"> информацию с датчиками и управля</w:t>
            </w:r>
            <w:r>
              <w:rPr>
                <w:rFonts w:eastAsia="Arial Unicode MS"/>
                <w:kern w:val="1"/>
              </w:rPr>
              <w:t>ть</w:t>
            </w:r>
            <w:r w:rsidRPr="00004DC2">
              <w:rPr>
                <w:rFonts w:eastAsia="Arial Unicode MS"/>
                <w:kern w:val="1"/>
              </w:rPr>
              <w:t xml:space="preserve"> коленным модулем в реальном времени, гироскоп и датчик ускорения должн</w:t>
            </w:r>
            <w:r>
              <w:rPr>
                <w:rFonts w:eastAsia="Arial Unicode MS"/>
                <w:kern w:val="1"/>
              </w:rPr>
              <w:t xml:space="preserve">ы </w:t>
            </w:r>
            <w:r w:rsidRPr="00004DC2">
              <w:rPr>
                <w:rFonts w:eastAsia="Arial Unicode MS"/>
                <w:kern w:val="1"/>
              </w:rPr>
              <w:t>измеря</w:t>
            </w:r>
            <w:r>
              <w:rPr>
                <w:rFonts w:eastAsia="Arial Unicode MS"/>
                <w:kern w:val="1"/>
              </w:rPr>
              <w:t>ть</w:t>
            </w:r>
            <w:r w:rsidRPr="00004DC2">
              <w:rPr>
                <w:rFonts w:eastAsia="Arial Unicode MS"/>
                <w:kern w:val="1"/>
              </w:rPr>
              <w:t xml:space="preserve"> положение коленного модуля в пространстве, гидравлический цилиндр</w:t>
            </w:r>
            <w:r>
              <w:t xml:space="preserve"> </w:t>
            </w:r>
            <w:r w:rsidRPr="00004DC2">
              <w:rPr>
                <w:rFonts w:eastAsia="Arial Unicode MS"/>
                <w:kern w:val="1"/>
              </w:rPr>
              <w:t>долж</w:t>
            </w:r>
            <w:r>
              <w:rPr>
                <w:rFonts w:eastAsia="Arial Unicode MS"/>
                <w:kern w:val="1"/>
              </w:rPr>
              <w:t>е</w:t>
            </w:r>
            <w:r w:rsidRPr="00004DC2">
              <w:rPr>
                <w:rFonts w:eastAsia="Arial Unicode MS"/>
                <w:kern w:val="1"/>
              </w:rPr>
              <w:t>н</w:t>
            </w:r>
            <w:r>
              <w:rPr>
                <w:rFonts w:eastAsia="Arial Unicode MS"/>
                <w:kern w:val="1"/>
              </w:rPr>
              <w:t xml:space="preserve"> </w:t>
            </w:r>
            <w:r w:rsidRPr="00004DC2">
              <w:rPr>
                <w:rFonts w:eastAsia="Arial Unicode MS"/>
                <w:kern w:val="1"/>
              </w:rPr>
              <w:t>контролир</w:t>
            </w:r>
            <w:r>
              <w:rPr>
                <w:rFonts w:eastAsia="Arial Unicode MS"/>
                <w:kern w:val="1"/>
              </w:rPr>
              <w:t>ова</w:t>
            </w:r>
            <w:r w:rsidRPr="00004DC2">
              <w:rPr>
                <w:rFonts w:eastAsia="Arial Unicode MS"/>
                <w:kern w:val="1"/>
              </w:rPr>
              <w:t>т</w:t>
            </w:r>
            <w:r>
              <w:rPr>
                <w:rFonts w:eastAsia="Arial Unicode MS"/>
                <w:kern w:val="1"/>
              </w:rPr>
              <w:t>ь</w:t>
            </w:r>
            <w:r w:rsidRPr="00004DC2">
              <w:rPr>
                <w:rFonts w:eastAsia="Arial Unicode MS"/>
                <w:kern w:val="1"/>
              </w:rPr>
              <w:t xml:space="preserve">ся </w:t>
            </w:r>
            <w:proofErr w:type="spellStart"/>
            <w:r w:rsidRPr="00004DC2">
              <w:rPr>
                <w:rFonts w:eastAsia="Arial Unicode MS"/>
                <w:kern w:val="1"/>
              </w:rPr>
              <w:t>микропоцессором</w:t>
            </w:r>
            <w:proofErr w:type="spellEnd"/>
            <w:r w:rsidRPr="00004DC2">
              <w:rPr>
                <w:rFonts w:eastAsia="Arial Unicode MS"/>
                <w:kern w:val="1"/>
              </w:rPr>
              <w:t>, создавая необходимое сопротивление от конкретной ситуации и потребности пациента; коленный модуль долж</w:t>
            </w:r>
            <w:r>
              <w:rPr>
                <w:rFonts w:eastAsia="Arial Unicode MS"/>
                <w:kern w:val="1"/>
              </w:rPr>
              <w:t>е</w:t>
            </w:r>
            <w:r w:rsidRPr="00004DC2">
              <w:rPr>
                <w:rFonts w:eastAsia="Arial Unicode MS"/>
                <w:kern w:val="1"/>
              </w:rPr>
              <w:t>н автоматически распозна</w:t>
            </w:r>
            <w:r>
              <w:rPr>
                <w:rFonts w:eastAsia="Arial Unicode MS"/>
                <w:kern w:val="1"/>
              </w:rPr>
              <w:t>ть</w:t>
            </w:r>
            <w:r w:rsidRPr="00004DC2">
              <w:rPr>
                <w:rFonts w:eastAsia="Arial Unicode MS"/>
                <w:kern w:val="1"/>
              </w:rPr>
              <w:t xml:space="preserve"> когда пациент стоит, присаживается, встает; </w:t>
            </w:r>
            <w:r>
              <w:rPr>
                <w:rFonts w:eastAsia="Arial Unicode MS"/>
                <w:kern w:val="1"/>
              </w:rPr>
              <w:t xml:space="preserve">должен </w:t>
            </w:r>
            <w:r w:rsidRPr="00004DC2">
              <w:rPr>
                <w:rFonts w:eastAsia="Arial Unicode MS"/>
                <w:kern w:val="1"/>
              </w:rPr>
              <w:t>облада</w:t>
            </w:r>
            <w:r>
              <w:rPr>
                <w:rFonts w:eastAsia="Arial Unicode MS"/>
                <w:kern w:val="1"/>
              </w:rPr>
              <w:t>ть</w:t>
            </w:r>
            <w:r w:rsidRPr="00004DC2">
              <w:rPr>
                <w:rFonts w:eastAsia="Arial Unicode MS"/>
                <w:kern w:val="1"/>
              </w:rPr>
              <w:t xml:space="preserve"> расширенными возможностями для обеспечения безопасности пациента на любом этапе движения.</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стопа</w:t>
            </w:r>
            <w:r>
              <w:t xml:space="preserve"> </w:t>
            </w:r>
            <w:r w:rsidRPr="00004DC2">
              <w:rPr>
                <w:rFonts w:eastAsia="Arial Unicode MS"/>
                <w:kern w:val="1"/>
              </w:rPr>
              <w:t xml:space="preserve">должна быть со среднем уровнем энергосбережения </w:t>
            </w:r>
            <w:r>
              <w:rPr>
                <w:rFonts w:eastAsia="Arial Unicode MS"/>
                <w:kern w:val="1"/>
              </w:rPr>
              <w:t xml:space="preserve">и должна </w:t>
            </w:r>
            <w:r w:rsidRPr="00004DC2">
              <w:rPr>
                <w:rFonts w:eastAsia="Arial Unicode MS"/>
                <w:kern w:val="1"/>
              </w:rPr>
              <w:t>подходит</w:t>
            </w:r>
            <w:r>
              <w:rPr>
                <w:rFonts w:eastAsia="Arial Unicode MS"/>
                <w:kern w:val="1"/>
              </w:rPr>
              <w:t>ь</w:t>
            </w:r>
            <w:r w:rsidRPr="00004DC2">
              <w:rPr>
                <w:rFonts w:eastAsia="Arial Unicode MS"/>
                <w:kern w:val="1"/>
              </w:rPr>
              <w:t xml:space="preserve"> для различной скорости ходьбы, обеспечива</w:t>
            </w:r>
            <w:r>
              <w:rPr>
                <w:rFonts w:eastAsia="Arial Unicode MS"/>
                <w:kern w:val="1"/>
              </w:rPr>
              <w:t>ть</w:t>
            </w:r>
            <w:r w:rsidRPr="00004DC2">
              <w:rPr>
                <w:rFonts w:eastAsia="Arial Unicode MS"/>
                <w:kern w:val="1"/>
              </w:rPr>
              <w:t xml:space="preserve"> свободу движения, от упругого </w:t>
            </w:r>
            <w:proofErr w:type="spellStart"/>
            <w:r w:rsidRPr="00004DC2">
              <w:rPr>
                <w:rFonts w:eastAsia="Arial Unicode MS"/>
                <w:kern w:val="1"/>
              </w:rPr>
              <w:t>наступания</w:t>
            </w:r>
            <w:proofErr w:type="spellEnd"/>
            <w:r w:rsidRPr="00004DC2">
              <w:rPr>
                <w:rFonts w:eastAsia="Arial Unicode MS"/>
                <w:kern w:val="1"/>
              </w:rPr>
              <w:t xml:space="preserve"> на пятку до динамического перехода фазы переноса, а также всестороннюю эластичность и компенсацию неровностей поверхности опоры, снижа</w:t>
            </w:r>
            <w:r w:rsidR="00A3660E">
              <w:rPr>
                <w:rFonts w:eastAsia="Arial Unicode MS"/>
                <w:kern w:val="1"/>
              </w:rPr>
              <w:t>ть</w:t>
            </w:r>
            <w:r w:rsidRPr="00004DC2">
              <w:rPr>
                <w:rFonts w:eastAsia="Arial Unicode MS"/>
                <w:kern w:val="1"/>
              </w:rPr>
              <w:t xml:space="preserve"> нагрузку на здоровую конечность</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 xml:space="preserve">косметическая оболочка </w:t>
            </w:r>
            <w:r w:rsidR="00A3660E" w:rsidRPr="00A3660E">
              <w:rPr>
                <w:rFonts w:eastAsia="Arial Unicode MS"/>
                <w:kern w:val="1"/>
              </w:rPr>
              <w:t>должна быть</w:t>
            </w:r>
            <w:r w:rsidR="00A3660E">
              <w:rPr>
                <w:rFonts w:eastAsia="Arial Unicode MS"/>
                <w:kern w:val="1"/>
              </w:rPr>
              <w:t>-</w:t>
            </w:r>
            <w:r w:rsidRPr="00004DC2">
              <w:rPr>
                <w:rFonts w:eastAsia="Arial Unicode MS"/>
                <w:kern w:val="1"/>
              </w:rPr>
              <w:t xml:space="preserve"> чулки </w:t>
            </w:r>
            <w:proofErr w:type="spellStart"/>
            <w:r w:rsidRPr="00004DC2">
              <w:rPr>
                <w:rFonts w:eastAsia="Arial Unicode MS"/>
                <w:kern w:val="1"/>
              </w:rPr>
              <w:t>силоновые</w:t>
            </w:r>
            <w:proofErr w:type="spellEnd"/>
            <w:r w:rsidRPr="00004DC2">
              <w:rPr>
                <w:rFonts w:eastAsia="Arial Unicode MS"/>
                <w:kern w:val="1"/>
              </w:rPr>
              <w:t xml:space="preserve"> ортопедические,</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r>
            <w:r w:rsidR="00A3660E" w:rsidRPr="00A3660E">
              <w:rPr>
                <w:rFonts w:eastAsia="Arial Unicode MS"/>
                <w:kern w:val="1"/>
              </w:rPr>
              <w:t>должн</w:t>
            </w:r>
            <w:r w:rsidR="00A3660E">
              <w:rPr>
                <w:rFonts w:eastAsia="Arial Unicode MS"/>
                <w:kern w:val="1"/>
              </w:rPr>
              <w:t>о</w:t>
            </w:r>
            <w:r w:rsidR="00A3660E" w:rsidRPr="00A3660E">
              <w:rPr>
                <w:rFonts w:eastAsia="Arial Unicode MS"/>
                <w:kern w:val="1"/>
              </w:rPr>
              <w:t xml:space="preserve"> быть </w:t>
            </w:r>
            <w:r w:rsidRPr="00004DC2">
              <w:rPr>
                <w:rFonts w:eastAsia="Arial Unicode MS"/>
                <w:kern w:val="1"/>
              </w:rPr>
              <w:t xml:space="preserve">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r>
            <w:r w:rsidR="00A3660E" w:rsidRPr="00A3660E">
              <w:rPr>
                <w:rFonts w:eastAsia="Arial Unicode MS"/>
                <w:kern w:val="1"/>
              </w:rPr>
              <w:t>долж</w:t>
            </w:r>
            <w:r w:rsidR="00A3660E">
              <w:rPr>
                <w:rFonts w:eastAsia="Arial Unicode MS"/>
                <w:kern w:val="1"/>
              </w:rPr>
              <w:t>е</w:t>
            </w:r>
            <w:r w:rsidR="00A3660E" w:rsidRPr="00A3660E">
              <w:rPr>
                <w:rFonts w:eastAsia="Arial Unicode MS"/>
                <w:kern w:val="1"/>
              </w:rPr>
              <w:t xml:space="preserve">н быть </w:t>
            </w:r>
            <w:r w:rsidRPr="00004DC2">
              <w:rPr>
                <w:rFonts w:eastAsia="Arial Unicode MS"/>
                <w:kern w:val="1"/>
              </w:rPr>
              <w:t>комплекс регулировочно - соединительных устройств,</w:t>
            </w:r>
          </w:p>
          <w:p w:rsidR="00004DC2" w:rsidRPr="00004DC2" w:rsidRDefault="00004DC2" w:rsidP="00004DC2">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r>
            <w:r w:rsidR="00A3660E" w:rsidRPr="00A3660E">
              <w:rPr>
                <w:rFonts w:eastAsia="Arial Unicode MS"/>
                <w:kern w:val="1"/>
              </w:rPr>
              <w:t xml:space="preserve">должна быть </w:t>
            </w:r>
            <w:r w:rsidRPr="00004DC2">
              <w:rPr>
                <w:rFonts w:eastAsia="Arial Unicode MS"/>
                <w:kern w:val="1"/>
              </w:rPr>
              <w:t>косметическая облицовка – мягкая полиуретановая модульная (поролон),</w:t>
            </w:r>
          </w:p>
          <w:p w:rsidR="00004DC2" w:rsidRPr="00004DC2" w:rsidRDefault="00004DC2" w:rsidP="00004DC2">
            <w:pPr>
              <w:widowControl w:val="0"/>
              <w:tabs>
                <w:tab w:val="left" w:pos="709"/>
                <w:tab w:val="left" w:pos="1418"/>
                <w:tab w:val="left" w:pos="2127"/>
                <w:tab w:val="left" w:pos="2836"/>
                <w:tab w:val="left" w:pos="4395"/>
              </w:tabs>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r>
            <w:r w:rsidR="00A3660E" w:rsidRPr="00A3660E">
              <w:rPr>
                <w:rFonts w:eastAsia="Arial Unicode MS"/>
                <w:kern w:val="1"/>
              </w:rPr>
              <w:t>долж</w:t>
            </w:r>
            <w:r w:rsidR="00A3660E">
              <w:rPr>
                <w:rFonts w:eastAsia="Arial Unicode MS"/>
                <w:kern w:val="1"/>
              </w:rPr>
              <w:t>е</w:t>
            </w:r>
            <w:r w:rsidR="00A3660E" w:rsidRPr="00A3660E">
              <w:rPr>
                <w:rFonts w:eastAsia="Arial Unicode MS"/>
                <w:kern w:val="1"/>
              </w:rPr>
              <w:t xml:space="preserve">н быть </w:t>
            </w:r>
            <w:r w:rsidRPr="00004DC2">
              <w:rPr>
                <w:rFonts w:eastAsia="Arial Unicode MS"/>
                <w:kern w:val="1"/>
              </w:rPr>
              <w:t>один чехол – футляр</w:t>
            </w:r>
            <w:r>
              <w:rPr>
                <w:rFonts w:eastAsia="Arial Unicode MS"/>
                <w:kern w:val="1"/>
              </w:rPr>
              <w:tab/>
            </w:r>
            <w:r>
              <w:rPr>
                <w:rFonts w:eastAsia="Arial Unicode MS"/>
                <w:kern w:val="1"/>
              </w:rPr>
              <w:tab/>
            </w:r>
          </w:p>
          <w:p w:rsidR="00AF6517" w:rsidRPr="005209BF" w:rsidRDefault="00004DC2" w:rsidP="00A3660E">
            <w:pPr>
              <w:widowControl w:val="0"/>
              <w:suppressAutoHyphens/>
              <w:snapToGrid w:val="0"/>
              <w:jc w:val="both"/>
              <w:rPr>
                <w:rFonts w:eastAsia="Arial Unicode MS"/>
                <w:kern w:val="1"/>
              </w:rPr>
            </w:pPr>
            <w:r w:rsidRPr="00004DC2">
              <w:rPr>
                <w:rFonts w:eastAsia="Arial Unicode MS"/>
                <w:kern w:val="1"/>
              </w:rPr>
              <w:t>•</w:t>
            </w:r>
            <w:r w:rsidRPr="00004DC2">
              <w:rPr>
                <w:rFonts w:eastAsia="Arial Unicode MS"/>
                <w:kern w:val="1"/>
              </w:rPr>
              <w:tab/>
              <w:t xml:space="preserve">протез </w:t>
            </w:r>
            <w:r w:rsidR="00A3660E" w:rsidRPr="00A3660E">
              <w:rPr>
                <w:rFonts w:eastAsia="Arial Unicode MS"/>
                <w:kern w:val="1"/>
              </w:rPr>
              <w:t>долж</w:t>
            </w:r>
            <w:r w:rsidR="00A3660E">
              <w:rPr>
                <w:rFonts w:eastAsia="Arial Unicode MS"/>
                <w:kern w:val="1"/>
              </w:rPr>
              <w:t>е</w:t>
            </w:r>
            <w:r w:rsidR="00A3660E" w:rsidRPr="00A3660E">
              <w:rPr>
                <w:rFonts w:eastAsia="Arial Unicode MS"/>
                <w:kern w:val="1"/>
              </w:rPr>
              <w:t xml:space="preserve">н быть </w:t>
            </w:r>
            <w:r w:rsidRPr="00004DC2">
              <w:rPr>
                <w:rFonts w:eastAsia="Arial Unicode MS"/>
                <w:kern w:val="1"/>
              </w:rPr>
              <w:t>постоянны</w:t>
            </w:r>
            <w:r w:rsidR="00A3660E">
              <w:rPr>
                <w:rFonts w:eastAsia="Arial Unicode MS"/>
                <w:kern w:val="1"/>
              </w:rPr>
              <w:t>м</w:t>
            </w:r>
            <w:r w:rsidRPr="00004DC2">
              <w:rPr>
                <w:rFonts w:eastAsia="Arial Unicode MS"/>
                <w:kern w:val="1"/>
              </w:rPr>
              <w:t>.</w:t>
            </w:r>
          </w:p>
        </w:tc>
        <w:tc>
          <w:tcPr>
            <w:tcW w:w="1276"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jc w:val="center"/>
              <w:rPr>
                <w:rFonts w:eastAsia="Arial Unicode MS"/>
                <w:color w:val="000000"/>
                <w:kern w:val="1"/>
              </w:rPr>
            </w:pPr>
            <w:r>
              <w:rPr>
                <w:rFonts w:eastAsia="Arial Unicode MS"/>
                <w:color w:val="000000"/>
                <w:kern w:val="1"/>
              </w:rPr>
              <w:t>1</w:t>
            </w:r>
          </w:p>
        </w:tc>
        <w:tc>
          <w:tcPr>
            <w:tcW w:w="1701" w:type="dxa"/>
            <w:tcBorders>
              <w:top w:val="single" w:sz="4" w:space="0" w:color="auto"/>
              <w:left w:val="single" w:sz="4" w:space="0" w:color="auto"/>
              <w:bottom w:val="single" w:sz="4" w:space="0" w:color="auto"/>
              <w:right w:val="single" w:sz="4" w:space="0" w:color="auto"/>
            </w:tcBorders>
            <w:vAlign w:val="center"/>
          </w:tcPr>
          <w:p w:rsidR="00AF6517" w:rsidRPr="007C4739" w:rsidRDefault="00004DC2" w:rsidP="00766408">
            <w:pPr>
              <w:jc w:val="center"/>
              <w:rPr>
                <w:color w:val="000000"/>
              </w:rPr>
            </w:pPr>
            <w:r w:rsidRPr="00004DC2">
              <w:rPr>
                <w:rFonts w:eastAsia="Arial Unicode MS"/>
                <w:color w:val="000000"/>
                <w:kern w:val="1"/>
              </w:rPr>
              <w:t>3640878,95</w:t>
            </w:r>
          </w:p>
        </w:tc>
      </w:tr>
    </w:tbl>
    <w:p w:rsidR="00AF6517" w:rsidRDefault="00AF6517" w:rsidP="005209BF">
      <w:pPr>
        <w:rPr>
          <w:rFonts w:eastAsia="Calibri"/>
          <w:b/>
          <w:kern w:val="1"/>
        </w:rPr>
      </w:pPr>
    </w:p>
    <w:p w:rsidR="00AF6517" w:rsidRDefault="00AF6517" w:rsidP="005209BF">
      <w:pPr>
        <w:rPr>
          <w:rFonts w:eastAsia="Calibri"/>
          <w:b/>
          <w:kern w:val="1"/>
        </w:rPr>
      </w:pPr>
    </w:p>
    <w:p w:rsidR="00854F07" w:rsidRPr="005209BF" w:rsidRDefault="00854F07" w:rsidP="005209BF">
      <w:pPr>
        <w:rPr>
          <w:rFonts w:eastAsia="Calibri"/>
          <w:b/>
          <w:kern w:val="1"/>
        </w:rPr>
      </w:pPr>
    </w:p>
    <w:p w:rsidR="005803FD" w:rsidRDefault="005803FD" w:rsidP="005803FD">
      <w:pPr>
        <w:tabs>
          <w:tab w:val="left" w:pos="506"/>
        </w:tabs>
        <w:jc w:val="center"/>
        <w:rPr>
          <w:b/>
        </w:rPr>
      </w:pPr>
      <w:r>
        <w:rPr>
          <w:b/>
        </w:rPr>
        <w:lastRenderedPageBreak/>
        <w:t>Требования к безопасности протезно-ортопедических изделий</w:t>
      </w:r>
    </w:p>
    <w:p w:rsidR="005803FD" w:rsidRDefault="005803FD" w:rsidP="005803FD">
      <w:pPr>
        <w:tabs>
          <w:tab w:val="left" w:pos="506"/>
        </w:tabs>
        <w:jc w:val="center"/>
        <w:rPr>
          <w:b/>
        </w:rPr>
      </w:pPr>
      <w:r>
        <w:rPr>
          <w:b/>
        </w:rPr>
        <w:t>(протезов нижних конечностей)</w:t>
      </w:r>
    </w:p>
    <w:p w:rsidR="005803FD" w:rsidRDefault="005803FD" w:rsidP="005803FD">
      <w:pPr>
        <w:tabs>
          <w:tab w:val="left" w:pos="506"/>
        </w:tabs>
        <w:rPr>
          <w:b/>
        </w:rPr>
      </w:pPr>
    </w:p>
    <w:p w:rsidR="005803FD" w:rsidRDefault="005803FD" w:rsidP="005803FD">
      <w:pPr>
        <w:tabs>
          <w:tab w:val="left" w:pos="506"/>
        </w:tabs>
        <w:jc w:val="both"/>
      </w:pPr>
      <w:r>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5803FD" w:rsidRDefault="005803FD" w:rsidP="005803FD">
      <w:pPr>
        <w:tabs>
          <w:tab w:val="left" w:pos="506"/>
        </w:tabs>
        <w:jc w:val="both"/>
        <w:rPr>
          <w:rFonts w:eastAsia="Calibri"/>
        </w:rPr>
      </w:pPr>
      <w:r>
        <w:t xml:space="preserve">- </w:t>
      </w:r>
      <w:r>
        <w:rPr>
          <w:rFonts w:eastAsia="Calibri"/>
        </w:rPr>
        <w:t xml:space="preserve">ГОСТ </w:t>
      </w:r>
      <w:r>
        <w:rPr>
          <w:rFonts w:eastAsia="Calibri"/>
          <w:lang w:val="en-US"/>
        </w:rPr>
        <w:t>ISO</w:t>
      </w:r>
      <w:r>
        <w:rPr>
          <w:rFonts w:eastAsia="Calibri"/>
        </w:rPr>
        <w:t xml:space="preserve"> 10993-1-2011 «</w:t>
      </w:r>
      <w:r>
        <w:t>Изделия медицинские. Оценка биологического действия медицинских изделий. Часть 1. Оценка и исследования»</w:t>
      </w:r>
      <w:r>
        <w:rPr>
          <w:rFonts w:eastAsia="Calibri"/>
        </w:rPr>
        <w:t xml:space="preserve">; </w:t>
      </w:r>
    </w:p>
    <w:p w:rsidR="005803FD" w:rsidRDefault="005803FD" w:rsidP="005803FD">
      <w:pPr>
        <w:tabs>
          <w:tab w:val="left" w:pos="506"/>
        </w:tabs>
        <w:jc w:val="both"/>
        <w:rPr>
          <w:rFonts w:eastAsia="Calibri"/>
        </w:rPr>
      </w:pPr>
      <w:r>
        <w:rPr>
          <w:rFonts w:eastAsia="Calibri"/>
        </w:rPr>
        <w:t xml:space="preserve">- ГОСТ </w:t>
      </w:r>
      <w:r>
        <w:rPr>
          <w:rFonts w:eastAsia="Calibri"/>
          <w:lang w:val="en-US"/>
        </w:rPr>
        <w:t>ISO</w:t>
      </w:r>
      <w:r>
        <w:rPr>
          <w:rFonts w:eastAsia="Calibri"/>
        </w:rPr>
        <w:t xml:space="preserve"> 10993-5-2011 «</w:t>
      </w:r>
      <w:r>
        <w:t xml:space="preserve">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rPr>
          <w:i/>
          <w:iCs/>
        </w:rPr>
        <w:t>in</w:t>
      </w:r>
      <w:proofErr w:type="spellEnd"/>
      <w:r>
        <w:rPr>
          <w:i/>
          <w:iCs/>
        </w:rPr>
        <w:t xml:space="preserve"> </w:t>
      </w:r>
      <w:proofErr w:type="spellStart"/>
      <w:r>
        <w:rPr>
          <w:i/>
          <w:iCs/>
        </w:rPr>
        <w:t>vitro</w:t>
      </w:r>
      <w:proofErr w:type="spellEnd"/>
      <w:r>
        <w:rPr>
          <w:i/>
          <w:iCs/>
        </w:rPr>
        <w:t>;</w:t>
      </w:r>
      <w:r>
        <w:rPr>
          <w:rFonts w:eastAsia="Calibri"/>
        </w:rPr>
        <w:t xml:space="preserve"> </w:t>
      </w:r>
    </w:p>
    <w:p w:rsidR="005803FD" w:rsidRDefault="005803FD" w:rsidP="005803FD">
      <w:pPr>
        <w:tabs>
          <w:tab w:val="left" w:pos="506"/>
        </w:tabs>
        <w:jc w:val="both"/>
        <w:rPr>
          <w:rFonts w:eastAsia="Calibri"/>
        </w:rPr>
      </w:pPr>
      <w:r>
        <w:rPr>
          <w:rFonts w:eastAsia="Calibri"/>
        </w:rPr>
        <w:t xml:space="preserve">- ГОСТ </w:t>
      </w:r>
      <w:r>
        <w:rPr>
          <w:rFonts w:eastAsia="Calibri"/>
          <w:lang w:val="en-US"/>
        </w:rPr>
        <w:t>ISO</w:t>
      </w:r>
      <w:r>
        <w:rPr>
          <w:rFonts w:eastAsia="Calibri"/>
        </w:rPr>
        <w:t xml:space="preserve"> 10993-10-2011 «</w:t>
      </w:r>
      <w:r>
        <w:t>Изделия медицинские. Оценка биологического действия медицинских изделий. Часть 10. Исследования раздражающего и сенсибилизирующего действия»</w:t>
      </w:r>
      <w:r>
        <w:rPr>
          <w:rFonts w:eastAsia="Calibri"/>
        </w:rPr>
        <w:t>;</w:t>
      </w:r>
    </w:p>
    <w:p w:rsidR="005803FD" w:rsidRDefault="005803FD" w:rsidP="005803FD">
      <w:pPr>
        <w:tabs>
          <w:tab w:val="left" w:pos="506"/>
        </w:tabs>
        <w:jc w:val="both"/>
        <w:rPr>
          <w:rFonts w:eastAsia="Calibri"/>
        </w:rPr>
      </w:pPr>
      <w:r>
        <w:rPr>
          <w:rFonts w:eastAsia="Calibri"/>
        </w:rPr>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5803FD" w:rsidRDefault="005803FD" w:rsidP="005803FD">
      <w:pPr>
        <w:tabs>
          <w:tab w:val="left" w:pos="506"/>
        </w:tabs>
        <w:jc w:val="both"/>
        <w:rPr>
          <w:rFonts w:eastAsia="Calibri"/>
        </w:rPr>
      </w:pPr>
      <w:r>
        <w:rPr>
          <w:rFonts w:eastAsia="Calibri"/>
        </w:rPr>
        <w:t>-  ГОСТ Р ИСО 22523-2007 «</w:t>
      </w:r>
      <w:r>
        <w:t xml:space="preserve">Протезы конечностей и </w:t>
      </w:r>
      <w:proofErr w:type="spellStart"/>
      <w:r>
        <w:t>ортезы</w:t>
      </w:r>
      <w:proofErr w:type="spellEnd"/>
      <w:r>
        <w:t xml:space="preserve"> наружные. Требования и методы испытаний»</w:t>
      </w:r>
      <w:r>
        <w:rPr>
          <w:rFonts w:eastAsia="Calibri"/>
        </w:rPr>
        <w:t>;</w:t>
      </w:r>
    </w:p>
    <w:p w:rsidR="005803FD" w:rsidRDefault="005803FD" w:rsidP="005803FD">
      <w:pPr>
        <w:tabs>
          <w:tab w:val="left" w:pos="506"/>
        </w:tabs>
        <w:jc w:val="both"/>
        <w:rPr>
          <w:rFonts w:eastAsia="Calibri"/>
        </w:rPr>
      </w:pPr>
      <w:r>
        <w:rPr>
          <w:rFonts w:eastAsia="Calibri"/>
        </w:rPr>
        <w:t>-  ГОСТ Р 53869-2010 «</w:t>
      </w:r>
      <w:r>
        <w:t>Протезы нижних конечностей. Технические требования»</w:t>
      </w:r>
      <w:r>
        <w:rPr>
          <w:rFonts w:eastAsia="Calibri"/>
        </w:rPr>
        <w:t xml:space="preserve">. </w:t>
      </w:r>
    </w:p>
    <w:p w:rsidR="005803FD" w:rsidRDefault="005803FD" w:rsidP="005803FD">
      <w:pPr>
        <w:ind w:firstLine="567"/>
        <w:jc w:val="center"/>
        <w:rPr>
          <w:rFonts w:eastAsia="Calibri"/>
          <w:b/>
        </w:rPr>
      </w:pPr>
    </w:p>
    <w:p w:rsidR="005803FD" w:rsidRDefault="005803FD" w:rsidP="005803FD">
      <w:pPr>
        <w:ind w:firstLine="567"/>
        <w:jc w:val="center"/>
        <w:rPr>
          <w:rFonts w:eastAsia="Calibri"/>
          <w:b/>
        </w:rPr>
      </w:pPr>
      <w:r>
        <w:rPr>
          <w:rFonts w:eastAsia="Calibri"/>
          <w:b/>
        </w:rPr>
        <w:t>Требования к качеству работ по изготовлению протезно-ортопедических изделий (протезов нижних конечностей)</w:t>
      </w:r>
    </w:p>
    <w:p w:rsidR="005803FD" w:rsidRDefault="005803FD" w:rsidP="005803FD">
      <w:pPr>
        <w:ind w:firstLine="567"/>
        <w:jc w:val="center"/>
        <w:rPr>
          <w:rFonts w:eastAsia="Calibri"/>
          <w:b/>
        </w:rPr>
      </w:pPr>
    </w:p>
    <w:p w:rsidR="005803FD" w:rsidRDefault="005803FD" w:rsidP="005803FD">
      <w:pPr>
        <w:ind w:firstLine="567"/>
        <w:jc w:val="both"/>
        <w:rPr>
          <w:rFonts w:eastAsia="Arial Unicode MS"/>
        </w:rPr>
      </w:pPr>
      <w:r>
        <w:t>Организация, непосредственно выполняющая работы</w:t>
      </w:r>
      <w:r w:rsidR="002E4865">
        <w:t>,</w:t>
      </w:r>
      <w:r>
        <w:t xml:space="preserve"> обеспечивает: выполнение технологического процесса изготовления протезно-ортопедических изделий, включая:</w:t>
      </w:r>
    </w:p>
    <w:p w:rsidR="005803FD" w:rsidRDefault="005803FD" w:rsidP="005803FD">
      <w:pPr>
        <w:ind w:firstLine="709"/>
        <w:jc w:val="both"/>
      </w:pPr>
      <w:r>
        <w:t>входной контроль комплектующих изделий и материалов;</w:t>
      </w:r>
    </w:p>
    <w:p w:rsidR="005803FD" w:rsidRDefault="005803FD" w:rsidP="005803FD">
      <w:pPr>
        <w:ind w:firstLine="709"/>
        <w:jc w:val="both"/>
      </w:pPr>
      <w:r>
        <w:t>изготовление деталей, сборочных единиц;</w:t>
      </w:r>
    </w:p>
    <w:p w:rsidR="005803FD" w:rsidRDefault="005803FD" w:rsidP="005803FD">
      <w:pPr>
        <w:ind w:firstLine="709"/>
        <w:jc w:val="both"/>
      </w:pPr>
      <w:r>
        <w:t xml:space="preserve">сборку протезов, </w:t>
      </w:r>
      <w:proofErr w:type="spellStart"/>
      <w:r>
        <w:t>протезно</w:t>
      </w:r>
      <w:proofErr w:type="spellEnd"/>
      <w:r>
        <w:t xml:space="preserve"> - ортопедических изделий;</w:t>
      </w:r>
    </w:p>
    <w:p w:rsidR="005803FD" w:rsidRDefault="005803FD" w:rsidP="005803FD">
      <w:pPr>
        <w:ind w:firstLine="709"/>
        <w:jc w:val="both"/>
      </w:pPr>
      <w:r>
        <w:t xml:space="preserve">операционный и приемочный контроль; </w:t>
      </w:r>
    </w:p>
    <w:p w:rsidR="005803FD" w:rsidRDefault="005803FD" w:rsidP="005803FD">
      <w:pPr>
        <w:ind w:firstLine="709"/>
        <w:jc w:val="both"/>
      </w:pPr>
      <w:r>
        <w:t>испытания и приемку готовой продукции;</w:t>
      </w:r>
    </w:p>
    <w:p w:rsidR="005803FD" w:rsidRDefault="005803FD" w:rsidP="005803FD">
      <w:pPr>
        <w:ind w:firstLine="709"/>
        <w:jc w:val="both"/>
      </w:pPr>
      <w:r>
        <w:t xml:space="preserve">хранение ее на складе готовой продукции; </w:t>
      </w:r>
    </w:p>
    <w:p w:rsidR="005803FD" w:rsidRDefault="005803FD" w:rsidP="005803FD">
      <w:pPr>
        <w:ind w:firstLine="709"/>
        <w:jc w:val="both"/>
      </w:pPr>
      <w:r>
        <w:t>удовлетворение претензий по качеству изготавливаемой продукции, в том числе замену негодной продукции на годную.</w:t>
      </w:r>
    </w:p>
    <w:p w:rsidR="005803FD" w:rsidRDefault="005803FD" w:rsidP="005803FD">
      <w:pPr>
        <w:jc w:val="both"/>
      </w:pPr>
    </w:p>
    <w:p w:rsidR="005803FD" w:rsidRDefault="005803FD" w:rsidP="005803FD">
      <w:pPr>
        <w:jc w:val="center"/>
        <w:rPr>
          <w:rFonts w:eastAsia="Calibri"/>
          <w:b/>
        </w:rPr>
      </w:pPr>
      <w:r>
        <w:rPr>
          <w:rFonts w:eastAsia="Calibri"/>
          <w:b/>
        </w:rPr>
        <w:t>Требования к результатам работ</w:t>
      </w:r>
    </w:p>
    <w:p w:rsidR="005803FD" w:rsidRDefault="005803FD" w:rsidP="005803FD">
      <w:pPr>
        <w:jc w:val="center"/>
        <w:rPr>
          <w:rFonts w:eastAsia="Calibri"/>
          <w:b/>
        </w:rPr>
      </w:pPr>
    </w:p>
    <w:p w:rsidR="005803FD" w:rsidRDefault="005803FD" w:rsidP="005803FD">
      <w:pPr>
        <w:ind w:firstLine="708"/>
        <w:jc w:val="both"/>
        <w:rPr>
          <w:rFonts w:eastAsia="Calibri"/>
        </w:rPr>
      </w:pPr>
      <w:r>
        <w:rPr>
          <w:rFonts w:eastAsia="Calibri"/>
        </w:rPr>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5803FD" w:rsidRDefault="005803FD" w:rsidP="005803FD">
      <w:pPr>
        <w:ind w:firstLine="567"/>
        <w:jc w:val="both"/>
        <w:rPr>
          <w:rFonts w:eastAsia="Calibri"/>
        </w:rPr>
      </w:pPr>
    </w:p>
    <w:p w:rsidR="005803FD" w:rsidRDefault="005803FD" w:rsidP="005803FD">
      <w:pPr>
        <w:ind w:firstLine="567"/>
        <w:jc w:val="center"/>
        <w:rPr>
          <w:rFonts w:eastAsia="Calibri"/>
          <w:b/>
        </w:rPr>
      </w:pPr>
      <w:r>
        <w:rPr>
          <w:rFonts w:eastAsia="Calibri"/>
          <w:b/>
        </w:rPr>
        <w:t>Упаковка протезов, гарантии</w:t>
      </w:r>
    </w:p>
    <w:p w:rsidR="005803FD" w:rsidRDefault="005803FD" w:rsidP="005803FD">
      <w:pPr>
        <w:ind w:firstLine="567"/>
        <w:jc w:val="center"/>
        <w:rPr>
          <w:rFonts w:eastAsia="Calibri"/>
          <w:b/>
        </w:rPr>
      </w:pPr>
    </w:p>
    <w:p w:rsidR="00DC57E6" w:rsidRDefault="005803FD" w:rsidP="00DC57E6">
      <w:pPr>
        <w:keepLines/>
        <w:ind w:firstLine="709"/>
        <w:jc w:val="both"/>
        <w:rPr>
          <w:rFonts w:eastAsia="Calibri"/>
        </w:rPr>
      </w:pPr>
      <w:r>
        <w:rPr>
          <w:rFonts w:eastAsia="Calibri"/>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803FD" w:rsidRDefault="005803FD" w:rsidP="00DC57E6">
      <w:pPr>
        <w:keepLines/>
        <w:ind w:firstLine="709"/>
        <w:jc w:val="both"/>
        <w:rPr>
          <w:rFonts w:eastAsia="Lucida Sans Unicode"/>
          <w:b/>
          <w:bCs/>
          <w:color w:val="000000"/>
          <w:lang w:bidi="en-US"/>
        </w:rPr>
      </w:pPr>
      <w:bookmarkStart w:id="0" w:name="_GoBack"/>
      <w:bookmarkEnd w:id="0"/>
      <w:r>
        <w:rPr>
          <w:rFonts w:eastAsia="Calibri"/>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5803FD" w:rsidRDefault="005803FD" w:rsidP="005803FD">
      <w:pPr>
        <w:pStyle w:val="Oaaeeoa"/>
        <w:spacing w:after="0" w:line="240" w:lineRule="atLeast"/>
        <w:jc w:val="center"/>
        <w:rPr>
          <w:b/>
          <w:sz w:val="28"/>
          <w:szCs w:val="28"/>
        </w:rPr>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5803FD">
      <w:pPr>
        <w:widowControl w:val="0"/>
        <w:autoSpaceDE w:val="0"/>
        <w:autoSpaceDN w:val="0"/>
        <w:adjustRightInd w:val="0"/>
        <w:jc w:val="both"/>
      </w:pPr>
    </w:p>
    <w:sectPr w:rsidR="005209BF" w:rsidSect="00346C22">
      <w:headerReference w:type="default" r:id="rId9"/>
      <w:footerReference w:type="even" r:id="rId10"/>
      <w:pgSz w:w="11906" w:h="16838" w:code="9"/>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2" w:rsidRDefault="006B1792">
      <w:r>
        <w:separator/>
      </w:r>
    </w:p>
  </w:endnote>
  <w:endnote w:type="continuationSeparator" w:id="0">
    <w:p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2" w:rsidRDefault="006B1792">
      <w:r>
        <w:separator/>
      </w:r>
    </w:p>
  </w:footnote>
  <w:footnote w:type="continuationSeparator" w:id="0">
    <w:p w:rsidR="006B1792" w:rsidRDefault="006B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58435C">
        <w:pPr>
          <w:pStyle w:val="af1"/>
          <w:jc w:val="center"/>
        </w:pPr>
        <w:r>
          <w:fldChar w:fldCharType="begin"/>
        </w:r>
        <w:r w:rsidR="006B1792">
          <w:instrText>PAGE   \* MERGEFORMAT</w:instrText>
        </w:r>
        <w:r>
          <w:fldChar w:fldCharType="separate"/>
        </w:r>
        <w:r w:rsidR="00DC57E6">
          <w:rPr>
            <w:noProof/>
          </w:rPr>
          <w:t>3</w:t>
        </w:r>
        <w:r>
          <w:fldChar w:fldCharType="end"/>
        </w: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DC2"/>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233"/>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179"/>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47"/>
    <w:rsid w:val="0025077B"/>
    <w:rsid w:val="00250FC6"/>
    <w:rsid w:val="0025148E"/>
    <w:rsid w:val="00251DC2"/>
    <w:rsid w:val="00252895"/>
    <w:rsid w:val="00252A4C"/>
    <w:rsid w:val="00252BA9"/>
    <w:rsid w:val="00252C66"/>
    <w:rsid w:val="00253637"/>
    <w:rsid w:val="002536AF"/>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2D19"/>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865"/>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6C22"/>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C2"/>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127"/>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3FD"/>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978"/>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4F07"/>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1A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4CE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89E"/>
    <w:rsid w:val="00A05C77"/>
    <w:rsid w:val="00A05CAE"/>
    <w:rsid w:val="00A060D2"/>
    <w:rsid w:val="00A06308"/>
    <w:rsid w:val="00A06A4E"/>
    <w:rsid w:val="00A076A8"/>
    <w:rsid w:val="00A07817"/>
    <w:rsid w:val="00A07A81"/>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660E"/>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7E6"/>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79C5"/>
    <w:rsid w:val="00E47D5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0E77"/>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62"/>
    <w:rsid w:val="00FD15A5"/>
    <w:rsid w:val="00FD1BC8"/>
    <w:rsid w:val="00FD1EAA"/>
    <w:rsid w:val="00FD211A"/>
    <w:rsid w:val="00FD244C"/>
    <w:rsid w:val="00FD249B"/>
    <w:rsid w:val="00FD2BC2"/>
    <w:rsid w:val="00FD2DB9"/>
    <w:rsid w:val="00FD30C1"/>
    <w:rsid w:val="00FD348A"/>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067539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53698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165473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58.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28D4-D700-405D-838C-6C92528D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Никишина Елена Юрьевна</cp:lastModifiedBy>
  <cp:revision>14</cp:revision>
  <cp:lastPrinted>2019-10-23T10:45:00Z</cp:lastPrinted>
  <dcterms:created xsi:type="dcterms:W3CDTF">2020-11-30T12:48:00Z</dcterms:created>
  <dcterms:modified xsi:type="dcterms:W3CDTF">2021-09-14T10:51:00Z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