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5" w:rsidRDefault="00883675" w:rsidP="00883675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883675" w:rsidRDefault="00883675" w:rsidP="00883675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</w:p>
    <w:p w:rsidR="00883675" w:rsidRDefault="00883675" w:rsidP="00883675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>
        <w:rPr>
          <w:b/>
          <w:bCs/>
        </w:rPr>
        <w:t xml:space="preserve">поставка </w:t>
      </w:r>
      <w:r>
        <w:rPr>
          <w:b/>
          <w:bCs/>
          <w:spacing w:val="1"/>
        </w:rPr>
        <w:t xml:space="preserve">специальных средств при нарушениях функций выделения для обеспечения в 2021 году инвалидов, проживающих на территории </w:t>
      </w:r>
      <w:r>
        <w:rPr>
          <w:b/>
          <w:bCs/>
          <w:color w:val="000000"/>
          <w:spacing w:val="1"/>
        </w:rPr>
        <w:t>Пермского края.</w:t>
      </w:r>
    </w:p>
    <w:p w:rsidR="00883675" w:rsidRDefault="00883675" w:rsidP="00883675">
      <w:pPr>
        <w:keepNext/>
        <w:keepLines/>
        <w:widowControl/>
        <w:suppressAutoHyphens w:val="0"/>
        <w:snapToGrid w:val="0"/>
        <w:jc w:val="both"/>
      </w:pPr>
      <w:r>
        <w:t xml:space="preserve">Описание объекта закупки (качественные, технические и функциональные характеристики): </w:t>
      </w:r>
      <w:r>
        <w:rPr>
          <w:sz w:val="26"/>
          <w:szCs w:val="26"/>
        </w:rPr>
        <w:t xml:space="preserve">Специальные средства при нарушениях функций выделения – это устройства, носимые на себе, предназначенные для сбора мочи и кишечного содержимого и устранения агрессивного воздействия на кожу. Специальные средства при нарушениях функций выделения соответствуют требованиям ГОСТ Р 58235-2018, ГОСТ Р 58237-2018. Конструкция специальных средств при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883675" w:rsidRDefault="00883675" w:rsidP="00883675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"/>
        <w:gridCol w:w="7813"/>
        <w:gridCol w:w="1214"/>
      </w:tblGrid>
      <w:tr w:rsidR="00883675" w:rsidTr="00883675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№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п/п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Количество                                              (шт.)</w:t>
            </w:r>
          </w:p>
        </w:tc>
      </w:tr>
      <w:tr w:rsidR="00883675" w:rsidTr="00883675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rPr>
                <w:lang w:val="en-US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Двухкомпонентный дренируемый калоприемник в комплекте: адгезивная пластина, плоская; мешок дренируемый.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>
              <w:t xml:space="preserve">-гибкая круглая, или овальная, или округлая легко наклеивающаяся и отклеивающаяся адгезивная пластина с клеевым слоем на натуральной, </w:t>
            </w:r>
            <w:proofErr w:type="spellStart"/>
            <w:r>
              <w:t>гипоаллергенной</w:t>
            </w:r>
            <w:proofErr w:type="spellEnd"/>
            <w: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t>стому</w:t>
            </w:r>
            <w:proofErr w:type="spellEnd"/>
            <w:r>
              <w:t>, с фланцем для крепления мешка, соответствующим фланцу мешка. Не должна вызывать повреждения кожи при отклеивании.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 xml:space="preserve">-мешок </w:t>
            </w:r>
            <w:proofErr w:type="spellStart"/>
            <w:r>
              <w:t>стомный</w:t>
            </w:r>
            <w:proofErr w:type="spellEnd"/>
            <w:r>
              <w:t xml:space="preserve">, дренируемый из многослойного, не пропускающего запах полиэтилена, с мягкой нетканой </w:t>
            </w:r>
            <w:proofErr w:type="gramStart"/>
            <w:r>
              <w:t>подложкой,  с</w:t>
            </w:r>
            <w:proofErr w:type="gramEnd"/>
            <w:r>
              <w:t xml:space="preserve"> зажимом, фланцем для крепления мешка к пластине, соответствующим фланцу пластины. Размер вырезаемого отверстия не менее 5 типоразмеров при диаметре фланца для крепления не менее 40 мм и не более 70 мм (в зависимости от потребности Получателя).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12 000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пластин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34 000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 xml:space="preserve">мешков </w:t>
            </w:r>
          </w:p>
          <w:p w:rsidR="00883675" w:rsidRDefault="0088367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</w:tr>
    </w:tbl>
    <w:p w:rsidR="00883675" w:rsidRDefault="00883675" w:rsidP="00883675">
      <w:pPr>
        <w:keepNext/>
        <w:keepLines/>
        <w:widowControl/>
        <w:suppressAutoHyphens w:val="0"/>
        <w:snapToGrid w:val="0"/>
        <w:jc w:val="both"/>
        <w:rPr>
          <w:u w:val="single"/>
          <w:lang w:val="en-US"/>
        </w:rPr>
      </w:pPr>
    </w:p>
    <w:p w:rsidR="00883675" w:rsidRDefault="00883675" w:rsidP="00883675">
      <w:pPr>
        <w:keepNext/>
        <w:keepLines/>
        <w:widowControl/>
        <w:suppressAutoHyphens w:val="0"/>
        <w:snapToGrid w:val="0"/>
        <w:jc w:val="both"/>
        <w:rPr>
          <w:b/>
        </w:rPr>
      </w:pPr>
      <w:r w:rsidRPr="00883675">
        <w:rPr>
          <w:b/>
          <w:u w:val="single"/>
        </w:rPr>
        <w:t>Срок годности Товара</w:t>
      </w:r>
      <w:r w:rsidRPr="00883675">
        <w:rPr>
          <w:b/>
        </w:rPr>
        <w:t xml:space="preserve"> </w:t>
      </w:r>
      <w:r>
        <w:rPr>
          <w:b/>
        </w:rPr>
        <w:t>составляет</w:t>
      </w:r>
      <w:r w:rsidRPr="00883675">
        <w:rPr>
          <w:b/>
        </w:rPr>
        <w:t xml:space="preserve"> 12 (Двенадцать) месяцев с момента подписания Акта приема-передачи Товара Получателем.</w:t>
      </w:r>
    </w:p>
    <w:p w:rsidR="00883675" w:rsidRPr="00883675" w:rsidRDefault="00883675" w:rsidP="00883675">
      <w:pPr>
        <w:keepNext/>
        <w:keepLines/>
        <w:widowControl/>
        <w:suppressAutoHyphens w:val="0"/>
        <w:snapToGrid w:val="0"/>
        <w:jc w:val="both"/>
        <w:rPr>
          <w:b/>
        </w:rPr>
      </w:pPr>
      <w:bookmarkStart w:id="0" w:name="_GoBack"/>
      <w:bookmarkEnd w:id="0"/>
    </w:p>
    <w:p w:rsidR="00883675" w:rsidRDefault="00883675" w:rsidP="00883675">
      <w:pPr>
        <w:suppressAutoHyphens w:val="0"/>
        <w:jc w:val="both"/>
      </w:pPr>
      <w:r>
        <w:rPr>
          <w:u w:val="single"/>
        </w:rPr>
        <w:t>Место поставки Товара</w:t>
      </w:r>
      <w:r>
        <w:t xml:space="preserve">: территория г. Перми; </w:t>
      </w:r>
      <w:r>
        <w:rPr>
          <w:bCs/>
        </w:rPr>
        <w:t xml:space="preserve">после подписания Сторонами Акта выборочной </w:t>
      </w:r>
      <w:r>
        <w:t xml:space="preserve">проверки поставляемого товара – Пермский край, до места проживания </w:t>
      </w:r>
      <w:r>
        <w:lastRenderedPageBreak/>
        <w:t>инвалидов (Получателей).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883675" w:rsidRDefault="00883675" w:rsidP="00883675">
      <w:pPr>
        <w:suppressAutoHyphens w:val="0"/>
        <w:jc w:val="both"/>
      </w:pPr>
      <w:r>
        <w:rPr>
          <w:u w:val="single"/>
        </w:rPr>
        <w:t xml:space="preserve">Весь объем Товара должен быть поставлен на территорию г. Перми </w:t>
      </w:r>
      <w:r>
        <w:t>- в течение 5-ти (Пяти) рабочих дней с момента заключения контракта.</w:t>
      </w:r>
    </w:p>
    <w:p w:rsidR="00883675" w:rsidRDefault="00883675" w:rsidP="00883675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FE10C4" w:rsidRDefault="00FE10C4"/>
    <w:sectPr w:rsidR="00FE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0B"/>
    <w:rsid w:val="002B280B"/>
    <w:rsid w:val="00883675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F27"/>
  <w15:chartTrackingRefBased/>
  <w15:docId w15:val="{6AD3FEE5-8534-41D1-ABF3-515781A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2</cp:revision>
  <dcterms:created xsi:type="dcterms:W3CDTF">2021-09-23T10:26:00Z</dcterms:created>
  <dcterms:modified xsi:type="dcterms:W3CDTF">2021-09-23T10:26:00Z</dcterms:modified>
</cp:coreProperties>
</file>