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17669D">
        <w:rPr>
          <w:rFonts w:ascii="Times New Roman" w:hAnsi="Times New Roman" w:cs="Times New Roman"/>
          <w:bCs/>
          <w:sz w:val="24"/>
          <w:szCs w:val="24"/>
        </w:rPr>
        <w:t>88 620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Специальные средства при нарушениях функций выделения (мочеприемники</w:t>
      </w:r>
      <w:r w:rsidR="00E26256">
        <w:rPr>
          <w:rFonts w:ascii="Times New Roman" w:hAnsi="Times New Roman" w:cs="Times New Roman"/>
          <w:sz w:val="24"/>
          <w:szCs w:val="24"/>
        </w:rPr>
        <w:t>/уроприемники</w:t>
      </w:r>
      <w:r w:rsidRPr="0020164B">
        <w:rPr>
          <w:rFonts w:ascii="Times New Roman" w:hAnsi="Times New Roman" w:cs="Times New Roman"/>
          <w:sz w:val="24"/>
          <w:szCs w:val="24"/>
        </w:rPr>
        <w:t xml:space="preserve">)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.1. В уростомных мешках дополнительно должно быть предусмотрено применение антирефлюксного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5. Исследования на цитотоксичность: методы in vitro»;</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17669D" w:rsidRPr="0017669D"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Показатель харак-теристики</w:t>
            </w:r>
          </w:p>
        </w:tc>
        <w:tc>
          <w:tcPr>
            <w:tcW w:w="1202" w:type="pct"/>
            <w:tcBorders>
              <w:top w:val="single" w:sz="4" w:space="0" w:color="auto"/>
              <w:left w:val="single" w:sz="4" w:space="0" w:color="auto"/>
              <w:bottom w:val="single" w:sz="4" w:space="0" w:color="auto"/>
              <w:right w:val="single" w:sz="4" w:space="0" w:color="auto"/>
            </w:tcBorders>
            <w:vAlign w:val="center"/>
            <w:hideMark/>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Количество (шт.)</w:t>
            </w:r>
          </w:p>
        </w:tc>
      </w:tr>
      <w:tr w:rsidR="0017669D" w:rsidRPr="0017669D" w:rsidTr="00CE61DF">
        <w:tblPrEx>
          <w:jc w:val="center"/>
        </w:tblPrEx>
        <w:trPr>
          <w:trHeight w:val="349"/>
          <w:jc w:val="center"/>
        </w:trPr>
        <w:tc>
          <w:tcPr>
            <w:tcW w:w="262" w:type="pct"/>
            <w:vMerge w:val="restart"/>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21-01-16</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Мочеприемник прикроватный (мешок для сбора мочи) ночной</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Материал мешка прозрачный многослойный не 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88 620</w:t>
            </w: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ГОСТ ISO 10993-10-2011</w:t>
            </w:r>
          </w:p>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Защищает кожу </w:t>
            </w:r>
            <w:r w:rsidRPr="0017669D">
              <w:rPr>
                <w:rFonts w:ascii="Times New Roman" w:eastAsia="Times New Roman" w:hAnsi="Times New Roman" w:cs="Times New Roman"/>
                <w:sz w:val="24"/>
                <w:szCs w:val="24"/>
                <w:lang w:eastAsia="ar-SA"/>
              </w:rPr>
              <w:lastRenderedPageBreak/>
              <w:t>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Сливной и антирефлюксный клапаны</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Сливной клапан - для дренирования (опорожнения) мешка. Антирефлюксный клапан (обратный сливной клапан) - для предотвращения заброса мочи из уроприемника в уростому (снижает риск инфицирования мочевыводящих путей и почек)</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Универсальный переходник для соединения с уропрезервативом или катетером</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Регулируемая, не закручиваемая, не перегибаемая дренажная трубка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Возможность регулировки дренажной трубки до 90см (включительно)</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Приказ Министерства труда и социальной защиты РФ от 13 февраля 2018 №85н</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Мерные отметки на передней стенке мешка, по которым определяется объем мочи</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Для определения объема мочеотделения (по медицинским показаниям)</w:t>
            </w:r>
          </w:p>
        </w:tc>
        <w:tc>
          <w:tcPr>
            <w:tcW w:w="641"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r w:rsidR="0017669D" w:rsidRPr="0017669D" w:rsidTr="00CE61DF">
        <w:tblPrEx>
          <w:jc w:val="center"/>
        </w:tblPrEx>
        <w:trPr>
          <w:trHeight w:val="349"/>
          <w:jc w:val="center"/>
        </w:trPr>
        <w:tc>
          <w:tcPr>
            <w:tcW w:w="262" w:type="pct"/>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не менее 1500 мл</w:t>
            </w:r>
          </w:p>
        </w:tc>
        <w:tc>
          <w:tcPr>
            <w:tcW w:w="1202" w:type="pct"/>
            <w:tcBorders>
              <w:top w:val="single" w:sz="4" w:space="0" w:color="auto"/>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r w:rsidRPr="0017669D">
              <w:rPr>
                <w:rFonts w:ascii="Times New Roman" w:eastAsia="Times New Roman" w:hAnsi="Times New Roman" w:cs="Times New Roman"/>
                <w:sz w:val="24"/>
                <w:szCs w:val="24"/>
                <w:lang w:eastAsia="ar-SA"/>
              </w:rPr>
              <w:t xml:space="preserve">Индивидуальные потребности </w:t>
            </w:r>
            <w:r w:rsidRPr="0017669D">
              <w:rPr>
                <w:rFonts w:ascii="Times New Roman" w:eastAsia="Times New Roman" w:hAnsi="Times New Roman" w:cs="Times New Roman"/>
                <w:sz w:val="24"/>
                <w:szCs w:val="24"/>
                <w:lang w:eastAsia="ar-SA"/>
              </w:rPr>
              <w:lastRenderedPageBreak/>
              <w:t>получателя</w:t>
            </w:r>
          </w:p>
        </w:tc>
        <w:tc>
          <w:tcPr>
            <w:tcW w:w="641" w:type="pct"/>
            <w:vMerge/>
            <w:tcBorders>
              <w:left w:val="single" w:sz="4" w:space="0" w:color="auto"/>
              <w:bottom w:val="single" w:sz="4" w:space="0" w:color="auto"/>
              <w:right w:val="single" w:sz="4" w:space="0" w:color="auto"/>
            </w:tcBorders>
          </w:tcPr>
          <w:p w:rsidR="0017669D" w:rsidRPr="0017669D" w:rsidRDefault="0017669D" w:rsidP="0017669D">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7669D"/>
    <w:rsid w:val="0020164B"/>
    <w:rsid w:val="003F357B"/>
    <w:rsid w:val="00464D14"/>
    <w:rsid w:val="006846C0"/>
    <w:rsid w:val="006D0A83"/>
    <w:rsid w:val="007C46F0"/>
    <w:rsid w:val="00945123"/>
    <w:rsid w:val="00A975D6"/>
    <w:rsid w:val="00B152A3"/>
    <w:rsid w:val="00B53385"/>
    <w:rsid w:val="00B6149D"/>
    <w:rsid w:val="00BD5F31"/>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2155</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9</cp:revision>
  <dcterms:created xsi:type="dcterms:W3CDTF">2020-12-04T06:28:00Z</dcterms:created>
  <dcterms:modified xsi:type="dcterms:W3CDTF">2021-09-09T12:29:00Z</dcterms:modified>
</cp:coreProperties>
</file>