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55" w:rsidRPr="00803F9B" w:rsidRDefault="002B6955" w:rsidP="002B6955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center"/>
        <w:rPr>
          <w:b/>
        </w:rPr>
      </w:pPr>
      <w:bookmarkStart w:id="0" w:name="_GoBack"/>
      <w:bookmarkEnd w:id="0"/>
      <w:r w:rsidRPr="00803F9B">
        <w:rPr>
          <w:b/>
        </w:rPr>
        <w:t>ОПИСАНИЕ ОБЪЕКТА ЗАКУПКИ</w:t>
      </w:r>
    </w:p>
    <w:p w:rsidR="002B6955" w:rsidRPr="00803F9B" w:rsidRDefault="002B6955" w:rsidP="002B6955">
      <w:pPr>
        <w:keepNext/>
        <w:widowControl w:val="0"/>
        <w:tabs>
          <w:tab w:val="left" w:pos="180"/>
        </w:tabs>
        <w:suppressAutoHyphens w:val="0"/>
        <w:ind w:firstLine="851"/>
        <w:jc w:val="center"/>
        <w:rPr>
          <w:rFonts w:eastAsia="Arial"/>
          <w:b/>
        </w:rPr>
      </w:pPr>
    </w:p>
    <w:p w:rsidR="002B6955" w:rsidRPr="00B05FB7" w:rsidRDefault="002B6955" w:rsidP="002B6955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B05FB7">
        <w:t>Наименование объекта закупки: Поставка технических средств реабилитации (сигнализаторы звука) для обеспечения в 2021 году инвалидов (для субъектов малого предпринимательства и социально ориентированных некоммерческих организаций).</w:t>
      </w:r>
    </w:p>
    <w:p w:rsidR="002B6955" w:rsidRPr="00803F9B" w:rsidRDefault="002B6955" w:rsidP="002B6955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B05FB7">
        <w:t>Описание объекта закупки, количество закупаемого товара:</w:t>
      </w:r>
    </w:p>
    <w:p w:rsidR="002B6955" w:rsidRDefault="002B6955" w:rsidP="002B6955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</w:pPr>
    </w:p>
    <w:tbl>
      <w:tblPr>
        <w:tblW w:w="9765" w:type="dxa"/>
        <w:jc w:val="center"/>
        <w:tblInd w:w="-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987"/>
        <w:gridCol w:w="1738"/>
      </w:tblGrid>
      <w:tr w:rsidR="002B6955" w:rsidRPr="00547064" w:rsidTr="000D773C">
        <w:trPr>
          <w:trHeight w:val="479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</w:pPr>
            <w:r w:rsidRPr="00547064">
              <w:t>Наименование закупаемого товара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</w:pPr>
            <w:r w:rsidRPr="00547064">
              <w:t>Описание функциональных и технических характеристик закупаемого товара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</w:pPr>
            <w:r w:rsidRPr="00547064">
              <w:t xml:space="preserve">Количество закупаемого товара </w:t>
            </w:r>
            <w:r w:rsidRPr="00547064">
              <w:rPr>
                <w:shd w:val="clear" w:color="auto" w:fill="FFFFFF"/>
              </w:rPr>
              <w:t>(</w:t>
            </w:r>
            <w:r w:rsidRPr="00547064">
              <w:t>Штука (шт.)</w:t>
            </w:r>
            <w:r w:rsidRPr="00547064">
              <w:rPr>
                <w:shd w:val="clear" w:color="auto" w:fill="FFFFFF"/>
              </w:rPr>
              <w:t>)</w:t>
            </w:r>
          </w:p>
        </w:tc>
      </w:tr>
      <w:tr w:rsidR="002B6955" w:rsidRPr="00547064" w:rsidTr="000D773C">
        <w:trPr>
          <w:trHeight w:val="2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</w:pPr>
          </w:p>
        </w:tc>
      </w:tr>
      <w:tr w:rsidR="002B6955" w:rsidRPr="00547064" w:rsidTr="000D773C">
        <w:trPr>
          <w:trHeight w:val="15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  <w:rPr>
                <w:rStyle w:val="ng-binding"/>
                <w:color w:val="333333"/>
              </w:rPr>
            </w:pPr>
            <w:r w:rsidRPr="00547064">
              <w:rPr>
                <w:rStyle w:val="ng-binding"/>
                <w:rFonts w:ascii="open_sansregular" w:hAnsi="open_sansregular" w:cs="Helvetica"/>
                <w:color w:val="333333"/>
              </w:rPr>
              <w:t xml:space="preserve">Сигнализатор звука цифровой </w:t>
            </w:r>
            <w:proofErr w:type="gramStart"/>
            <w:r w:rsidRPr="00547064">
              <w:rPr>
                <w:rStyle w:val="ng-binding"/>
                <w:rFonts w:ascii="open_sansregular" w:hAnsi="open_sansregular" w:cs="Helvetica"/>
                <w:color w:val="333333"/>
              </w:rPr>
              <w:t>с</w:t>
            </w:r>
            <w:proofErr w:type="gramEnd"/>
            <w:r w:rsidRPr="00547064">
              <w:rPr>
                <w:rStyle w:val="ng-binding"/>
                <w:rFonts w:ascii="open_sansregular" w:hAnsi="open_sansregular" w:cs="Helvetica"/>
                <w:color w:val="333333"/>
              </w:rPr>
              <w:t xml:space="preserve"> световой индикацией</w:t>
            </w:r>
          </w:p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  <w:rPr>
                <w:rStyle w:val="ng-binding"/>
                <w:color w:val="333333"/>
              </w:rPr>
            </w:pPr>
          </w:p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  <w:rPr>
                <w:rStyle w:val="ng-binding"/>
                <w:color w:val="333333"/>
              </w:rPr>
            </w:pPr>
            <w:r w:rsidRPr="00547064">
              <w:t>Наименование технического средства реабилитации по Приказу Минтруда РФ № 86н от 13.02.2018г.:</w:t>
            </w:r>
          </w:p>
          <w:p w:rsidR="002B6955" w:rsidRPr="00547064" w:rsidRDefault="002B6955" w:rsidP="000D773C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47064">
              <w:rPr>
                <w:lang w:eastAsia="ru-RU"/>
              </w:rPr>
              <w:t>Сигнализатор звука цифровой со световой индикацией</w:t>
            </w:r>
          </w:p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Сигнализатор звука цифровой со световой индикацией для </w:t>
            </w:r>
            <w:proofErr w:type="spellStart"/>
            <w:r w:rsidRPr="00547064">
              <w:t>плохослышащих</w:t>
            </w:r>
            <w:proofErr w:type="spellEnd"/>
            <w:r w:rsidRPr="00547064">
              <w:t xml:space="preserve"> и глухих предназначен для информирования людей с нарушением слуха о наличии звуковых сигналов домофона, дверного звонка и телефонного звонка.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proofErr w:type="gramStart"/>
            <w:r w:rsidRPr="00547064">
              <w:t>Сигнализирующие устройство должно быть беспроводное по конструкции.</w:t>
            </w:r>
            <w:proofErr w:type="gramEnd"/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Цифровой световой индикатор должен привлекать внимание пользователя с помощью: 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- световой индикацией рабочего состояния </w:t>
            </w:r>
            <w:proofErr w:type="spellStart"/>
            <w:r w:rsidRPr="00547064">
              <w:t>приемника</w:t>
            </w:r>
            <w:proofErr w:type="spellEnd"/>
            <w:r w:rsidRPr="00547064">
              <w:t>;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- световой (стробоскопической) индикацией </w:t>
            </w:r>
            <w:proofErr w:type="spellStart"/>
            <w:r w:rsidRPr="00547064">
              <w:t>приемника</w:t>
            </w:r>
            <w:proofErr w:type="spellEnd"/>
            <w:r w:rsidRPr="00547064">
              <w:t xml:space="preserve">; 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- светодиодной индикацией на корпусе передатчиков сигнала телефона/домофона, дверного звонка о поступающих на передатчики сигналах.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Цифровой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 со световой (стробоскопической) индикацией должен служить для </w:t>
            </w:r>
            <w:proofErr w:type="spellStart"/>
            <w:r w:rsidRPr="00547064">
              <w:t>приема</w:t>
            </w:r>
            <w:proofErr w:type="spellEnd"/>
            <w:r w:rsidRPr="00547064">
              <w:t xml:space="preserve"> сигналов телефона, домофона, дверного звонка. При входящем сигнале световой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 оповещает инвалида световой индикацией яркими вспышками стробоскопа встроенного в корпус </w:t>
            </w:r>
            <w:proofErr w:type="spellStart"/>
            <w:r w:rsidRPr="00547064">
              <w:t>приемника</w:t>
            </w:r>
            <w:proofErr w:type="spellEnd"/>
            <w:r w:rsidRPr="00547064">
              <w:t xml:space="preserve"> различимыми в дневное время суток. Питание светового </w:t>
            </w:r>
            <w:proofErr w:type="spellStart"/>
            <w:r w:rsidRPr="00547064">
              <w:t>приемника</w:t>
            </w:r>
            <w:proofErr w:type="spellEnd"/>
            <w:r w:rsidRPr="00547064">
              <w:t xml:space="preserve"> должно осуществляться от сети переменного тока 220</w:t>
            </w:r>
            <w:proofErr w:type="gramStart"/>
            <w:r w:rsidRPr="00547064">
              <w:t xml:space="preserve"> В</w:t>
            </w:r>
            <w:proofErr w:type="gramEnd"/>
            <w:r w:rsidRPr="00547064">
              <w:t>, 50 Гц и от элементов питания.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Цифровые передатчики должны служить для передачи информации о входном сигнале дверного звонка, домофона, телефона на световой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. В передатчиках должны быть установлены электрические датчики, что исключает возможность ложного срабатывания. Передатчик звонка домофона/телефона подключается проводным способом к источнику сигнала с помощью модульных </w:t>
            </w:r>
            <w:proofErr w:type="spellStart"/>
            <w:r w:rsidRPr="00547064">
              <w:t>разъемов</w:t>
            </w:r>
            <w:proofErr w:type="spellEnd"/>
            <w:r w:rsidRPr="00547064">
              <w:t xml:space="preserve"> и клемм. Передатчик дверного звонка должен иметь вид беспроводного дверного звонка. Все передатчики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защищены интеллектуальной электронной системой от ложного срабатывания при случайном нажатии.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В комплектацию сигнализатора должны входить: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- световой </w:t>
            </w:r>
            <w:proofErr w:type="spellStart"/>
            <w:r w:rsidRPr="00547064">
              <w:t>приемник</w:t>
            </w:r>
            <w:proofErr w:type="spellEnd"/>
            <w:r w:rsidRPr="00547064">
              <w:t>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передатчик звонка домофона/телефона;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передатчик дверного звонка;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переходник для подключения к телефонной линии;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клеммы для подключения к линии домофона;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элементы питания, в количестве, необходимом для работы сигнализатора.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Радиус устойчивого </w:t>
            </w:r>
            <w:proofErr w:type="spellStart"/>
            <w:r w:rsidRPr="00547064">
              <w:t>приема</w:t>
            </w:r>
            <w:proofErr w:type="spellEnd"/>
            <w:r w:rsidRPr="00547064">
              <w:t xml:space="preserve"> сигнала: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в условиях прямой видимости – не менее 30 м.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Количество адресов сигнализирующего устройства для гарантии отсутствия ложного срабатывания – не менее 256 </w:t>
            </w:r>
            <w:r w:rsidRPr="00547064">
              <w:rPr>
                <w:bCs/>
                <w:i/>
                <w:color w:val="000000"/>
                <w:spacing w:val="-4"/>
              </w:rPr>
              <w:t>(участник в своей заявке должен конкретизировать данный показатель).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Несущая частота передатчика – частота, </w:t>
            </w:r>
            <w:proofErr w:type="spellStart"/>
            <w:r w:rsidRPr="00547064">
              <w:t>разрешенная</w:t>
            </w:r>
            <w:proofErr w:type="spellEnd"/>
            <w:r w:rsidRPr="00547064">
              <w:t xml:space="preserve"> для использования на территории Российской Федерации.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  <w:rPr>
                <w:color w:val="000000"/>
              </w:rPr>
            </w:pPr>
            <w:r w:rsidRPr="00547064">
              <w:rPr>
                <w:color w:val="000000"/>
              </w:rPr>
              <w:t xml:space="preserve">Товар должен соответствовать требованиям следующих стандартов </w:t>
            </w:r>
            <w:r w:rsidRPr="00547064">
              <w:rPr>
                <w:color w:val="000000"/>
              </w:rPr>
              <w:lastRenderedPageBreak/>
              <w:t xml:space="preserve">ГОСТ ISO 10993-1-2011, ГОСТ ISO 10993-11-2011, ГОСТ ISO 10993-18-2011, ГОСТ </w:t>
            </w:r>
            <w:proofErr w:type="gramStart"/>
            <w:r w:rsidRPr="00547064">
              <w:rPr>
                <w:color w:val="000000"/>
              </w:rPr>
              <w:t>Р</w:t>
            </w:r>
            <w:proofErr w:type="gramEnd"/>
            <w:r w:rsidRPr="00547064">
              <w:rPr>
                <w:color w:val="000000"/>
              </w:rPr>
              <w:t xml:space="preserve"> 50267.0-92, ГОСТ Р 51632-2014 (Раздел 4), ГОСТ Р 51264-99, ГОСТ ИСО 9999-2019.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Гарантийный срок Товара должен быть не менее 12 месяцев со дня подписания Получателем акта </w:t>
            </w:r>
            <w:proofErr w:type="spellStart"/>
            <w:r w:rsidRPr="00547064">
              <w:t>приема</w:t>
            </w:r>
            <w:proofErr w:type="spellEnd"/>
            <w:r w:rsidRPr="00547064">
              <w:t>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  <w:r w:rsidRPr="00547064">
              <w:lastRenderedPageBreak/>
              <w:t>270</w:t>
            </w:r>
          </w:p>
        </w:tc>
      </w:tr>
      <w:tr w:rsidR="002B6955" w:rsidRPr="00547064" w:rsidTr="000D773C">
        <w:trPr>
          <w:trHeight w:val="15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</w:pPr>
            <w:r w:rsidRPr="00547064">
              <w:rPr>
                <w:rStyle w:val="ng-binding"/>
                <w:rFonts w:ascii="open_sansregular" w:hAnsi="open_sansregular" w:cs="Helvetica"/>
                <w:color w:val="333333"/>
              </w:rPr>
              <w:lastRenderedPageBreak/>
              <w:t>Сигнализатор звука цифровой с вибрационной индикацией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Сигнализатор звука цифровой с вибрационной индикацией для </w:t>
            </w:r>
            <w:proofErr w:type="spellStart"/>
            <w:r w:rsidRPr="00547064">
              <w:t>плохослышащих</w:t>
            </w:r>
            <w:proofErr w:type="spellEnd"/>
            <w:r w:rsidRPr="00547064">
              <w:t xml:space="preserve"> и глухих предназначен для информирования людей с нарушением слуха о наличии звуковых сигналов домофона, дверного звонка и телефонного звонка.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proofErr w:type="gramStart"/>
            <w:r w:rsidRPr="00547064">
              <w:t>Сигнализирующие устройство должно быть беспроводное по конструкции.</w:t>
            </w:r>
            <w:proofErr w:type="gramEnd"/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Цифровой вибрационно-световой индикатор должен привлекать внимание пользователя с помощью: 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-вибрации корпуса беспроводного вибрационного </w:t>
            </w:r>
            <w:proofErr w:type="spellStart"/>
            <w:r w:rsidRPr="00547064">
              <w:t>приемника</w:t>
            </w:r>
            <w:proofErr w:type="spellEnd"/>
            <w:r w:rsidRPr="00547064">
              <w:t xml:space="preserve">; 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-светодиодной индикацией на корпусе передатчиков сигнала телефона/домофона, дверного звонка о поступающих на передатчики сигналах.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Вибрационный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 должен служить для </w:t>
            </w:r>
            <w:proofErr w:type="spellStart"/>
            <w:r w:rsidRPr="00547064">
              <w:t>приема</w:t>
            </w:r>
            <w:proofErr w:type="spellEnd"/>
            <w:r w:rsidRPr="00547064">
              <w:t xml:space="preserve"> сигналов домофона, дверного звонка и телефонного звонка. Вибрационный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 должен быть беспроводным. Вибрационный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 должен оповещать пользователя посредством сильной вибрации корпуса. Должен иметь функцию переключения режимов работы. Питание </w:t>
            </w:r>
            <w:proofErr w:type="spellStart"/>
            <w:r w:rsidRPr="00547064">
              <w:t>приемника</w:t>
            </w:r>
            <w:proofErr w:type="spellEnd"/>
            <w:r w:rsidRPr="00547064">
              <w:t xml:space="preserve"> должно осуществляется от элементов питания для исключения возможности поражения пользователя электрическим током.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Цифровые передатчики должны служить для передачи информации о входном сигнале дверного звонка, домофона, телефона на вибрационный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. В передатчиках должны быть установлены электрические датчики, что исключает возможность ложного срабатывания. Передатчик звонка домофона/телефона подключается проводным способом к источнику сигнала с помощью модульных </w:t>
            </w:r>
            <w:proofErr w:type="spellStart"/>
            <w:r w:rsidRPr="00547064">
              <w:t>разъемов</w:t>
            </w:r>
            <w:proofErr w:type="spellEnd"/>
            <w:r w:rsidRPr="00547064">
              <w:t xml:space="preserve"> и клемм. Передатчик дверного звонка должен иметь вид беспроводного дверного звонка. Все передатчики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защищены интеллектуальной электронной системой от ложного срабатывания при случайном нажатии.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В комплектацию сигнализатора должны входить: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- вибрационный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>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передатчик звонка домофона/телефона;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передатчик дверного звонка;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переходник для подключения к телефонной линии;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клеммы для подключения к линии домофона;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элементы питания, в количестве, необходимом для работы сигнализатора.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Радиус устойчивого </w:t>
            </w:r>
            <w:proofErr w:type="spellStart"/>
            <w:r w:rsidRPr="00547064">
              <w:t>приема</w:t>
            </w:r>
            <w:proofErr w:type="spellEnd"/>
            <w:r w:rsidRPr="00547064">
              <w:t xml:space="preserve"> сигнала: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>- в условиях прямой видимости – не менее 30 м.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Количество адресов сигнализирующего устройства для гарантии отсутствия ложного срабатывания – не менее 256 </w:t>
            </w:r>
            <w:r w:rsidRPr="00547064">
              <w:rPr>
                <w:bCs/>
                <w:i/>
                <w:color w:val="000000"/>
                <w:spacing w:val="-4"/>
              </w:rPr>
              <w:t>(участник в своей заявке должен конкретизировать данный показатель).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Несущая частота передатчика – частота, </w:t>
            </w:r>
            <w:proofErr w:type="spellStart"/>
            <w:r w:rsidRPr="00547064">
              <w:t>разрешенная</w:t>
            </w:r>
            <w:proofErr w:type="spellEnd"/>
            <w:r w:rsidRPr="00547064">
              <w:t xml:space="preserve"> для использования на территории Российской Федерации.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  <w:rPr>
                <w:color w:val="000000"/>
              </w:rPr>
            </w:pPr>
            <w:r w:rsidRPr="00547064">
              <w:rPr>
                <w:color w:val="000000"/>
              </w:rPr>
              <w:t xml:space="preserve">Товар должен соответствовать требованиям следующих стандартов ГОСТ ISO 10993-1-2011, ГОСТ ISO 10993-11-2011, ГОСТ ISO 10993-18-2011, ГОСТ </w:t>
            </w:r>
            <w:proofErr w:type="gramStart"/>
            <w:r w:rsidRPr="00547064">
              <w:rPr>
                <w:color w:val="000000"/>
              </w:rPr>
              <w:t>Р</w:t>
            </w:r>
            <w:proofErr w:type="gramEnd"/>
            <w:r w:rsidRPr="00547064">
              <w:rPr>
                <w:color w:val="000000"/>
              </w:rPr>
              <w:t xml:space="preserve"> 50267.0-92, ГОСТ Р 51632-2014 (Раздел 4), ГОСТ Р 51264-99, ГОСТ ИСО 9999-2019.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lastRenderedPageBreak/>
              <w:t xml:space="preserve">Гарантийный срок Товара должен быть не менее 12 месяцев со дня подписания Получателем акта </w:t>
            </w:r>
            <w:proofErr w:type="spellStart"/>
            <w:r w:rsidRPr="00547064">
              <w:t>приема</w:t>
            </w:r>
            <w:proofErr w:type="spellEnd"/>
            <w:r w:rsidRPr="00547064">
              <w:t>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  <w:r w:rsidRPr="00547064">
              <w:lastRenderedPageBreak/>
              <w:t>150</w:t>
            </w:r>
          </w:p>
        </w:tc>
      </w:tr>
      <w:tr w:rsidR="002B6955" w:rsidRPr="00547064" w:rsidTr="000D773C">
        <w:trPr>
          <w:trHeight w:val="15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ind w:left="-94" w:right="-87" w:hanging="2"/>
              <w:jc w:val="center"/>
            </w:pPr>
            <w:r w:rsidRPr="00547064">
              <w:rPr>
                <w:rStyle w:val="ng-binding"/>
                <w:rFonts w:ascii="open_sansregular" w:hAnsi="open_sansregular" w:cs="Helvetica"/>
                <w:color w:val="333333"/>
              </w:rPr>
              <w:lastRenderedPageBreak/>
              <w:t>Сигнализатор звука цифровой с вибрационной и световой индикацией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Сигнализатор звука цифровой с вибрационной и световой индикацией для </w:t>
            </w:r>
            <w:proofErr w:type="spellStart"/>
            <w:r w:rsidRPr="00547064">
              <w:t>плохослышащих</w:t>
            </w:r>
            <w:proofErr w:type="spellEnd"/>
            <w:r w:rsidRPr="00547064">
              <w:t xml:space="preserve"> и глухих должен быть предназначен для информирования людей с нарушением слуха о наличии звуковых сигналов домофона, дверного звонка и телефонного звонка.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proofErr w:type="gramStart"/>
            <w:r w:rsidRPr="00547064">
              <w:t>Сигнализирующие устройство должно быть беспроводное по конструкции.</w:t>
            </w:r>
            <w:proofErr w:type="gramEnd"/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Цифровой вибрационно-световой индикатор должен привлекать внимание пользователя с помощью: 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-вибрации корпуса наручного </w:t>
            </w:r>
            <w:proofErr w:type="spellStart"/>
            <w:r w:rsidRPr="00547064">
              <w:t>приемника</w:t>
            </w:r>
            <w:proofErr w:type="spellEnd"/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-светодиодной индикацией наручного </w:t>
            </w:r>
            <w:proofErr w:type="spellStart"/>
            <w:r w:rsidRPr="00547064">
              <w:t>приемника</w:t>
            </w:r>
            <w:proofErr w:type="spellEnd"/>
            <w:r w:rsidRPr="00547064">
              <w:t>;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-индикацией рабочего состояния наручного </w:t>
            </w:r>
            <w:proofErr w:type="spellStart"/>
            <w:r w:rsidRPr="00547064">
              <w:t>приемника</w:t>
            </w:r>
            <w:proofErr w:type="spellEnd"/>
            <w:r w:rsidRPr="00547064">
              <w:t>;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-светодиодной индикацией на корпусе передатчиков сигнала телефона/домофона, дверного звонка о поступающих на передатчики сигналах.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Цифровой наручный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 со светодиодной индикацией должен служить для </w:t>
            </w:r>
            <w:proofErr w:type="spellStart"/>
            <w:r w:rsidRPr="00547064">
              <w:t>приема</w:t>
            </w:r>
            <w:proofErr w:type="spellEnd"/>
            <w:r w:rsidRPr="00547064">
              <w:t xml:space="preserve"> сигналов домофона, дверного звонка, телефонного звонка. Корпус наручного </w:t>
            </w:r>
            <w:proofErr w:type="spellStart"/>
            <w:r w:rsidRPr="00547064">
              <w:t>приемника</w:t>
            </w:r>
            <w:proofErr w:type="spellEnd"/>
            <w:r w:rsidRPr="00547064">
              <w:t xml:space="preserve"> выполнен в форм-факторе наручных часов. Должен иметь кнопку включения/сброса со светодиодной индикацией. При </w:t>
            </w:r>
            <w:proofErr w:type="spellStart"/>
            <w:r w:rsidRPr="00547064">
              <w:t>включенном</w:t>
            </w:r>
            <w:proofErr w:type="spellEnd"/>
            <w:r w:rsidRPr="00547064">
              <w:t xml:space="preserve"> </w:t>
            </w:r>
            <w:proofErr w:type="spellStart"/>
            <w:r w:rsidRPr="00547064">
              <w:t>приемнике</w:t>
            </w:r>
            <w:proofErr w:type="spellEnd"/>
            <w:r w:rsidRPr="00547064">
              <w:t xml:space="preserve">, кнопка включения должна подавать яркие периодические световые импульсы (индикатор рабочего состояния) различимые в дневное время суток. Для каждого бытового сигнала должны иметься специальные иконки с пиктограммой. При входящем сигнале на наручный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, должны загораться яркими вспышками хорошо различимыми в дневное время суток индивидуальные пиктограммы для каждого вида сигнала, сопровождающиеся индивидуальным тактильным рисунком вибрации для каждого типа сигнала. Наручный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 должен быть </w:t>
            </w:r>
            <w:proofErr w:type="spellStart"/>
            <w:r w:rsidRPr="00547064">
              <w:t>оснащен</w:t>
            </w:r>
            <w:proofErr w:type="spellEnd"/>
            <w:r w:rsidRPr="00547064">
              <w:t xml:space="preserve"> эластичным ремешком для ношения на руке. Питания наручного </w:t>
            </w:r>
            <w:proofErr w:type="spellStart"/>
            <w:r w:rsidRPr="00547064">
              <w:t>приемника</w:t>
            </w:r>
            <w:proofErr w:type="spellEnd"/>
            <w:r w:rsidRPr="00547064">
              <w:t xml:space="preserve"> должно осуществляться от элементов питания.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Цифровые передатчики должны служить для передачи информации о входном сигнале дверного звонка, домофона, телефона на наручный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 xml:space="preserve">. В передатчиках должны быть установлены электрические датчики, что исключает возможность ложного срабатывания. Передатчик звонка домофона/телефона подключаются проводным способом к источнику сигнала с помощью модульных </w:t>
            </w:r>
            <w:proofErr w:type="spellStart"/>
            <w:r w:rsidRPr="00547064">
              <w:t>разъемов</w:t>
            </w:r>
            <w:proofErr w:type="spellEnd"/>
            <w:r w:rsidRPr="00547064">
              <w:t xml:space="preserve"> и клемм. Передатчик дверного звонка должен иметь вид беспроводного дверного звонка. Все передатчики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защищены интеллектуальной электронной системой от ложного срабатывания при случайном нажатии. 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В комплектацию сигнализатора должны входить: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- наручный </w:t>
            </w:r>
            <w:proofErr w:type="spellStart"/>
            <w:r w:rsidRPr="00547064">
              <w:t>приемник</w:t>
            </w:r>
            <w:proofErr w:type="spellEnd"/>
            <w:r w:rsidRPr="00547064">
              <w:t>;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- передатчик звонка домофона/телефона;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- передатчик дверного звонка;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- переходник для подключения к телефонной линии;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- клеммы для подключения к линии домофона;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- элементы питания, в количестве, необходимом для работы сигнализатора.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Радиус устойчивого </w:t>
            </w:r>
            <w:proofErr w:type="spellStart"/>
            <w:r w:rsidRPr="00547064">
              <w:t>приема</w:t>
            </w:r>
            <w:proofErr w:type="spellEnd"/>
            <w:r w:rsidRPr="00547064">
              <w:t xml:space="preserve"> сигнала: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>- в условиях прямой видимости не менее 30 м.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Количество адресов сигнализирующего устройства для гарантии </w:t>
            </w:r>
            <w:r w:rsidRPr="00547064">
              <w:lastRenderedPageBreak/>
              <w:t xml:space="preserve">отсутствия ложного срабатывания не менее 256 </w:t>
            </w:r>
            <w:r w:rsidRPr="00547064">
              <w:rPr>
                <w:bCs/>
                <w:i/>
                <w:color w:val="000000"/>
                <w:spacing w:val="-4"/>
              </w:rPr>
              <w:t>(участник в своей заявке должен конкретизировать данный показатель)</w:t>
            </w:r>
          </w:p>
          <w:p w:rsidR="002B6955" w:rsidRPr="00547064" w:rsidRDefault="002B6955" w:rsidP="000D773C">
            <w:pPr>
              <w:keepNext/>
              <w:suppressAutoHyphens w:val="0"/>
              <w:snapToGrid w:val="0"/>
              <w:ind w:left="-28" w:right="-12"/>
              <w:jc w:val="both"/>
            </w:pPr>
            <w:r w:rsidRPr="00547064">
              <w:t xml:space="preserve">Несущая частота передатчика – частота, </w:t>
            </w:r>
            <w:proofErr w:type="spellStart"/>
            <w:r w:rsidRPr="00547064">
              <w:t>разрешенная</w:t>
            </w:r>
            <w:proofErr w:type="spellEnd"/>
            <w:r w:rsidRPr="00547064">
              <w:t xml:space="preserve"> для использования на территории Российской Федерации.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  <w:rPr>
                <w:color w:val="000000"/>
              </w:rPr>
            </w:pPr>
            <w:r w:rsidRPr="00547064">
              <w:rPr>
                <w:color w:val="000000"/>
              </w:rPr>
              <w:t xml:space="preserve">Товар должен соответствовать требованиям следующих стандартов Товар должен соответствовать требованиям следующих стандартов ГОСТ ISO 10993-1-2011, ГОСТ ISO 10993-11-2011, ГОСТ ISO 10993-18-2011, ГОСТ </w:t>
            </w:r>
            <w:proofErr w:type="gramStart"/>
            <w:r w:rsidRPr="00547064">
              <w:rPr>
                <w:color w:val="000000"/>
              </w:rPr>
              <w:t>Р</w:t>
            </w:r>
            <w:proofErr w:type="gramEnd"/>
            <w:r w:rsidRPr="00547064">
              <w:rPr>
                <w:color w:val="000000"/>
              </w:rPr>
              <w:t xml:space="preserve"> 50267.0-92, ГОСТ Р 51632-2014 (Раздел 4), ГОСТ Р 51264-99, ГОСТ ИСО 9999-2019.</w:t>
            </w:r>
          </w:p>
          <w:p w:rsidR="002B6955" w:rsidRPr="00547064" w:rsidRDefault="002B6955" w:rsidP="000D773C">
            <w:pPr>
              <w:keepNext/>
              <w:suppressAutoHyphens w:val="0"/>
              <w:ind w:left="-28" w:right="-12"/>
              <w:jc w:val="both"/>
            </w:pPr>
            <w:r w:rsidRPr="00547064">
              <w:t xml:space="preserve">Гарантийный срок Товара должен быть не менее 12 месяцев со дня подписания Получателем акта </w:t>
            </w:r>
            <w:proofErr w:type="spellStart"/>
            <w:r w:rsidRPr="00547064">
              <w:t>приема</w:t>
            </w:r>
            <w:proofErr w:type="spellEnd"/>
            <w:r w:rsidRPr="00547064">
              <w:t>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  <w:r w:rsidRPr="00547064">
              <w:lastRenderedPageBreak/>
              <w:t>280</w:t>
            </w:r>
          </w:p>
        </w:tc>
      </w:tr>
      <w:tr w:rsidR="002B6955" w:rsidRPr="00547064" w:rsidTr="000D773C">
        <w:trPr>
          <w:trHeight w:val="9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pStyle w:val="a4"/>
              <w:keepNext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  <w:r w:rsidRPr="00547064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pStyle w:val="a4"/>
              <w:keepNext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5" w:rsidRPr="00547064" w:rsidRDefault="002B6955" w:rsidP="000D773C">
            <w:pPr>
              <w:keepNext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  <w:r w:rsidRPr="00547064">
              <w:t>700</w:t>
            </w:r>
          </w:p>
        </w:tc>
      </w:tr>
    </w:tbl>
    <w:p w:rsidR="002B6955" w:rsidRPr="00803F9B" w:rsidRDefault="002B6955" w:rsidP="002B6955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</w:pPr>
    </w:p>
    <w:p w:rsidR="002B6955" w:rsidRPr="00547064" w:rsidRDefault="002B6955" w:rsidP="002B6955">
      <w:pPr>
        <w:keepNext/>
        <w:widowControl w:val="0"/>
        <w:suppressAutoHyphens w:val="0"/>
        <w:ind w:firstLine="851"/>
        <w:jc w:val="both"/>
      </w:pPr>
      <w:r w:rsidRPr="00547064">
        <w:t>Обоснование необходимости использования других показателей, требований, условных обозначений и терминологии:</w:t>
      </w:r>
    </w:p>
    <w:p w:rsidR="002B6955" w:rsidRPr="00547064" w:rsidRDefault="002B6955" w:rsidP="002B6955">
      <w:pPr>
        <w:keepNext/>
        <w:widowControl w:val="0"/>
        <w:suppressAutoHyphens w:val="0"/>
        <w:ind w:firstLine="851"/>
        <w:jc w:val="both"/>
      </w:pPr>
      <w:proofErr w:type="gramStart"/>
      <w:r w:rsidRPr="00547064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2B6955" w:rsidRPr="00547064" w:rsidRDefault="002B6955" w:rsidP="002B6955">
      <w:pPr>
        <w:keepNext/>
        <w:widowControl w:val="0"/>
        <w:suppressAutoHyphens w:val="0"/>
        <w:ind w:firstLine="851"/>
        <w:jc w:val="both"/>
      </w:pPr>
      <w:r w:rsidRPr="00547064"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 индивидуальными программами реабилитации или </w:t>
      </w:r>
      <w:proofErr w:type="spellStart"/>
      <w:r w:rsidRPr="00547064">
        <w:t>абилитации</w:t>
      </w:r>
      <w:proofErr w:type="spellEnd"/>
      <w:r w:rsidRPr="00547064">
        <w:t xml:space="preserve"> инвалидов (ИПРА).</w:t>
      </w:r>
    </w:p>
    <w:p w:rsidR="002B6955" w:rsidRPr="00803F9B" w:rsidRDefault="002B6955" w:rsidP="002B6955">
      <w:pPr>
        <w:keepNext/>
        <w:widowControl w:val="0"/>
        <w:suppressAutoHyphens w:val="0"/>
        <w:ind w:firstLine="851"/>
        <w:jc w:val="both"/>
      </w:pPr>
      <w:r w:rsidRPr="00547064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B6955" w:rsidRPr="00803F9B" w:rsidRDefault="002B6955" w:rsidP="002B6955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803F9B"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C77C62">
        <w:t>Р</w:t>
      </w:r>
      <w:proofErr w:type="gramEnd"/>
      <w:r w:rsidRPr="00C77C62">
        <w:t xml:space="preserve"> ИСО 9999-2019 «Вспомогательные средства для людей с ограничениями жизнедеятельности. </w:t>
      </w:r>
      <w:proofErr w:type="gramStart"/>
      <w:r w:rsidRPr="00C77C62">
        <w:t>Классификация и терминология).</w:t>
      </w:r>
      <w:proofErr w:type="gramEnd"/>
      <w:r w:rsidRPr="00C77C62">
        <w:t xml:space="preserve"> Питание осуществляется от сети переменного тока и/или иных элементов питания.</w:t>
      </w:r>
    </w:p>
    <w:p w:rsidR="002B6955" w:rsidRPr="00803F9B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 xml:space="preserve">Товар не должен выделять при эксплуатации токсичных и агрессивных веществ. </w:t>
      </w:r>
    </w:p>
    <w:p w:rsidR="002B6955" w:rsidRPr="00803F9B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2B6955" w:rsidRPr="00803F9B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B6955" w:rsidRPr="00803F9B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>Материалы, из которых изготавливается товар, не должны выделять токсичных веще</w:t>
      </w:r>
      <w:proofErr w:type="gramStart"/>
      <w:r w:rsidRPr="00803F9B">
        <w:t>ств пр</w:t>
      </w:r>
      <w:proofErr w:type="gramEnd"/>
      <w:r w:rsidRPr="00803F9B"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B6955" w:rsidRPr="00803F9B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B6955" w:rsidRPr="00803F9B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>- безопасность для кожных покровов;</w:t>
      </w:r>
    </w:p>
    <w:p w:rsidR="002B6955" w:rsidRPr="00803F9B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>- эстетичность;</w:t>
      </w:r>
    </w:p>
    <w:p w:rsidR="002B6955" w:rsidRPr="00803F9B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>- комфортность;</w:t>
      </w:r>
    </w:p>
    <w:p w:rsidR="002B6955" w:rsidRPr="00803F9B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>- простота пользования.</w:t>
      </w:r>
    </w:p>
    <w:p w:rsidR="002B6955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2B6955" w:rsidRPr="00803F9B" w:rsidRDefault="002B6955" w:rsidP="002B6955">
      <w:pPr>
        <w:keepNext/>
        <w:suppressAutoHyphens w:val="0"/>
        <w:ind w:firstLine="708"/>
        <w:jc w:val="both"/>
      </w:pPr>
      <w:r w:rsidRPr="00C77C62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2B6955" w:rsidRDefault="002B6955" w:rsidP="002B6955">
      <w:pPr>
        <w:keepNext/>
        <w:widowControl w:val="0"/>
        <w:tabs>
          <w:tab w:val="left" w:pos="0"/>
          <w:tab w:val="left" w:pos="8647"/>
        </w:tabs>
        <w:suppressAutoHyphens w:val="0"/>
        <w:ind w:firstLine="851"/>
        <w:jc w:val="both"/>
      </w:pPr>
      <w:r w:rsidRPr="00803F9B">
        <w:t>Срок выполнения гарантийного ремонта со дня обращения Получателя не должен превышать 20 (двадцати) рабочих дней.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lastRenderedPageBreak/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Маркировка упаковки товара должна включать: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- условное обозначение группы товара, товарную марку (при наличии), обозначение номера товара (при наличии);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 xml:space="preserve">- страну-изготовителя; 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- наименование предприятия-изготовителя, юридический адрес, товарный знак (при наличии);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 xml:space="preserve">- отличительные характеристики товара в соответствии с их </w:t>
      </w:r>
      <w:proofErr w:type="gramStart"/>
      <w:r w:rsidRPr="00C77C62">
        <w:t>техническим исполнением</w:t>
      </w:r>
      <w:proofErr w:type="gramEnd"/>
      <w:r w:rsidRPr="00C77C62">
        <w:t xml:space="preserve"> (при наличии);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- номер артикула (при наличии);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- количество товара в упаковке;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- дату (месяц, год) изготовления или гарантийный срок годности (при наличии);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- правила использования (при необходимости);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- штриховой код товара (при наличии);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- информацию о сертификации (при наличии).</w:t>
      </w:r>
    </w:p>
    <w:p w:rsidR="002B6955" w:rsidRPr="00C77C62" w:rsidRDefault="002B6955" w:rsidP="002B6955">
      <w:pPr>
        <w:keepNext/>
        <w:suppressAutoHyphens w:val="0"/>
        <w:ind w:firstLine="708"/>
        <w:jc w:val="both"/>
      </w:pPr>
      <w:r w:rsidRPr="00C77C62">
        <w:t>Хранение должно осуществляться в соответствии с требованиями, предъявляемыми к данной категории товара.</w:t>
      </w:r>
    </w:p>
    <w:p w:rsidR="002B6955" w:rsidRPr="00803F9B" w:rsidRDefault="002B6955" w:rsidP="002B6955">
      <w:pPr>
        <w:keepNext/>
        <w:tabs>
          <w:tab w:val="left" w:pos="3495"/>
        </w:tabs>
        <w:suppressAutoHyphens w:val="0"/>
        <w:ind w:firstLine="708"/>
        <w:jc w:val="both"/>
      </w:pPr>
      <w:r w:rsidRPr="00C77C62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2B6955" w:rsidRDefault="002B6955" w:rsidP="002B6955">
      <w:pPr>
        <w:keepNext/>
        <w:widowControl w:val="0"/>
        <w:suppressAutoHyphens w:val="0"/>
        <w:ind w:firstLine="851"/>
        <w:jc w:val="both"/>
      </w:pPr>
      <w:r w:rsidRPr="00803F9B">
        <w:t xml:space="preserve">Место доставки товара: </w:t>
      </w:r>
    </w:p>
    <w:p w:rsidR="002B6955" w:rsidRPr="0073531B" w:rsidRDefault="002B6955" w:rsidP="002B6955">
      <w:pPr>
        <w:keepNext/>
        <w:widowControl w:val="0"/>
        <w:suppressAutoHyphens w:val="0"/>
        <w:ind w:firstLine="851"/>
        <w:jc w:val="both"/>
      </w:pPr>
      <w:r w:rsidRPr="0073531B"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или </w:t>
      </w:r>
      <w:proofErr w:type="spellStart"/>
      <w:r w:rsidRPr="0073531B">
        <w:t>абилитации</w:t>
      </w:r>
      <w:proofErr w:type="spellEnd"/>
      <w:r w:rsidRPr="0073531B"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73531B">
        <w:t>Р</w:t>
      </w:r>
      <w:proofErr w:type="gramEnd"/>
      <w:r w:rsidRPr="0073531B">
        <w:t>).</w:t>
      </w:r>
    </w:p>
    <w:p w:rsidR="002B6955" w:rsidRPr="0073531B" w:rsidRDefault="002B6955" w:rsidP="002B6955">
      <w:pPr>
        <w:keepNext/>
        <w:widowControl w:val="0"/>
        <w:suppressAutoHyphens w:val="0"/>
        <w:ind w:firstLine="851"/>
        <w:jc w:val="both"/>
      </w:pPr>
      <w:r w:rsidRPr="0073531B"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B6955" w:rsidRPr="0073531B" w:rsidRDefault="002B6955" w:rsidP="002B6955">
      <w:pPr>
        <w:keepNext/>
        <w:widowControl w:val="0"/>
        <w:suppressAutoHyphens w:val="0"/>
        <w:ind w:firstLine="851"/>
        <w:jc w:val="both"/>
      </w:pPr>
      <w:r w:rsidRPr="0073531B">
        <w:t xml:space="preserve">Срок поставки товара: Со дня заключения контракта до 15.12.2021 г. должно быть поставлено 100% общего </w:t>
      </w:r>
      <w:proofErr w:type="spellStart"/>
      <w:r w:rsidRPr="0073531B">
        <w:t>объема</w:t>
      </w:r>
      <w:proofErr w:type="spellEnd"/>
      <w:r w:rsidRPr="0073531B">
        <w:t xml:space="preserve"> товара.  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B6955" w:rsidRPr="00803F9B" w:rsidRDefault="002B6955" w:rsidP="002B6955">
      <w:pPr>
        <w:keepNext/>
        <w:widowControl w:val="0"/>
        <w:suppressAutoHyphens w:val="0"/>
        <w:ind w:firstLine="851"/>
        <w:jc w:val="both"/>
      </w:pPr>
      <w:r w:rsidRPr="0073531B">
        <w:t xml:space="preserve">Поставщик гарантирует, что товар </w:t>
      </w:r>
      <w:proofErr w:type="spellStart"/>
      <w:r w:rsidRPr="0073531B">
        <w:t>передается</w:t>
      </w:r>
      <w:proofErr w:type="spellEnd"/>
      <w:r w:rsidRPr="0073531B">
        <w:t xml:space="preserve"> свободным от прав третьих лиц и не является предметом залога, ареста или иного обременения.</w:t>
      </w:r>
    </w:p>
    <w:p w:rsidR="002B6955" w:rsidRDefault="002B6955" w:rsidP="002B6955">
      <w:pPr>
        <w:keepNext/>
        <w:widowControl w:val="0"/>
        <w:tabs>
          <w:tab w:val="left" w:pos="180"/>
        </w:tabs>
        <w:suppressAutoHyphens w:val="0"/>
        <w:ind w:firstLine="851"/>
        <w:jc w:val="center"/>
        <w:rPr>
          <w:rFonts w:eastAsia="Arial"/>
          <w:b/>
        </w:rPr>
      </w:pPr>
    </w:p>
    <w:p w:rsidR="002B6955" w:rsidRPr="00C77C62" w:rsidRDefault="002B6955" w:rsidP="002B6955">
      <w:pPr>
        <w:keepNext/>
        <w:tabs>
          <w:tab w:val="left" w:pos="0"/>
          <w:tab w:val="left" w:pos="3495"/>
        </w:tabs>
        <w:suppressAutoHyphens w:val="0"/>
        <w:ind w:firstLine="567"/>
        <w:jc w:val="both"/>
      </w:pPr>
      <w:r w:rsidRPr="00C77C62">
        <w:t>2. Информация о товаре / работе / услуге в соответствии с «Каталогом товаров, работ, услуг для обеспечения государственных и м</w:t>
      </w:r>
      <w:r w:rsidRPr="00C77C62">
        <w:t>у</w:t>
      </w:r>
      <w:r w:rsidRPr="00C77C62">
        <w:t>ниципальных нужд» (далее – Каталог, КТРУ)</w:t>
      </w:r>
    </w:p>
    <w:p w:rsidR="002B6955" w:rsidRPr="00B83A21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</w:pPr>
      <w:r w:rsidRPr="00B83A21">
        <w:t>Код позиции КТРУ: 27.90.20.120-00000001.</w:t>
      </w:r>
    </w:p>
    <w:p w:rsidR="002B6955" w:rsidRPr="00B83A21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</w:pPr>
      <w:r w:rsidRPr="00B83A21">
        <w:t xml:space="preserve">Наименование товара / работы / услуги: Сигнализатор звука цифровой </w:t>
      </w:r>
      <w:proofErr w:type="gramStart"/>
      <w:r w:rsidRPr="00B83A21">
        <w:t>с</w:t>
      </w:r>
      <w:proofErr w:type="gramEnd"/>
      <w:r w:rsidRPr="00B83A21">
        <w:t xml:space="preserve"> световой индикацией.</w:t>
      </w:r>
    </w:p>
    <w:p w:rsidR="002B6955" w:rsidRPr="00B83A21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</w:pPr>
      <w:r w:rsidRPr="00B83A21">
        <w:t>Единицы измерения количества товара /</w:t>
      </w:r>
      <w:proofErr w:type="spellStart"/>
      <w:r w:rsidRPr="00B83A21">
        <w:t>объема</w:t>
      </w:r>
      <w:proofErr w:type="spellEnd"/>
      <w:r w:rsidRPr="00B83A21"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B83A21">
        <w:t>ОК</w:t>
      </w:r>
      <w:proofErr w:type="gramEnd"/>
      <w:r w:rsidRPr="00B83A21">
        <w:t xml:space="preserve"> 015-94 (ОКЕИ) (при наличии): Штука.</w:t>
      </w:r>
    </w:p>
    <w:p w:rsidR="002B6955" w:rsidRPr="00B83A21" w:rsidRDefault="002B6955" w:rsidP="002B6955">
      <w:pPr>
        <w:keepNext/>
        <w:tabs>
          <w:tab w:val="left" w:pos="0"/>
          <w:tab w:val="left" w:pos="3495"/>
        </w:tabs>
        <w:suppressAutoHyphens w:val="0"/>
        <w:ind w:firstLine="567"/>
        <w:jc w:val="both"/>
      </w:pPr>
      <w:r w:rsidRPr="00B83A21"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2B6955" w:rsidRPr="00B83A21" w:rsidRDefault="002B6955" w:rsidP="002B6955">
      <w:pPr>
        <w:keepNext/>
        <w:suppressAutoHyphens w:val="0"/>
        <w:ind w:firstLine="567"/>
        <w:jc w:val="both"/>
      </w:pPr>
      <w:r w:rsidRPr="00B83A21">
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27.90.20.120: </w:t>
      </w:r>
      <w:r w:rsidRPr="00B83A21">
        <w:rPr>
          <w:rStyle w:val="sectioninfo2"/>
          <w:color w:val="334059"/>
        </w:rPr>
        <w:t>Приборы световой и звуковой сигнализации электрические.</w:t>
      </w:r>
    </w:p>
    <w:p w:rsidR="002B6955" w:rsidRPr="00B83A21" w:rsidRDefault="002B6955" w:rsidP="002B6955">
      <w:pPr>
        <w:keepNext/>
        <w:suppressAutoHyphens w:val="0"/>
        <w:ind w:firstLine="567"/>
        <w:jc w:val="both"/>
      </w:pPr>
      <w:r w:rsidRPr="00B83A21">
        <w:t xml:space="preserve">Классификация технических средств реабилитации (изделий): 16-01-01 </w:t>
      </w:r>
      <w:r w:rsidRPr="00B83A21">
        <w:rPr>
          <w:color w:val="334059"/>
        </w:rPr>
        <w:t xml:space="preserve">Сигнализатор звука цифровой </w:t>
      </w:r>
      <w:proofErr w:type="gramStart"/>
      <w:r w:rsidRPr="00B83A21">
        <w:rPr>
          <w:color w:val="334059"/>
        </w:rPr>
        <w:t>с</w:t>
      </w:r>
      <w:proofErr w:type="gramEnd"/>
      <w:r w:rsidRPr="00B83A21">
        <w:rPr>
          <w:color w:val="334059"/>
        </w:rPr>
        <w:t xml:space="preserve"> световой индикацией</w:t>
      </w:r>
      <w:r w:rsidRPr="00B83A21">
        <w:t>.</w:t>
      </w:r>
    </w:p>
    <w:p w:rsidR="002B6955" w:rsidRPr="00B83A21" w:rsidRDefault="002B6955" w:rsidP="002B6955">
      <w:pPr>
        <w:keepNext/>
        <w:suppressAutoHyphens w:val="0"/>
        <w:ind w:firstLine="567"/>
        <w:jc w:val="both"/>
      </w:pPr>
      <w:r w:rsidRPr="00B83A21">
        <w:rPr>
          <w:lang w:eastAsia="ru-RU"/>
        </w:rPr>
        <w:t xml:space="preserve">Номенклатурная классификация медицинских изделий по видам: </w:t>
      </w:r>
      <w:r w:rsidRPr="00B83A21">
        <w:t>Сведения отсутствуют.</w:t>
      </w:r>
    </w:p>
    <w:p w:rsidR="002B6955" w:rsidRPr="00B83A21" w:rsidRDefault="002B6955" w:rsidP="002B6955">
      <w:pPr>
        <w:keepNext/>
        <w:suppressAutoHyphens w:val="0"/>
        <w:ind w:firstLine="567"/>
        <w:jc w:val="both"/>
      </w:pPr>
      <w:r w:rsidRPr="00B83A21"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2B6955" w:rsidRPr="00B83A21" w:rsidRDefault="002B6955" w:rsidP="002B6955">
      <w:pPr>
        <w:keepNext/>
        <w:suppressAutoHyphens w:val="0"/>
        <w:ind w:firstLine="567"/>
        <w:jc w:val="both"/>
      </w:pPr>
      <w:r w:rsidRPr="00B83A21">
        <w:rPr>
          <w:lang w:eastAsia="en-US"/>
        </w:rPr>
        <w:t xml:space="preserve">Дата включения в Каталог позиции: </w:t>
      </w:r>
      <w:r w:rsidRPr="00B83A21">
        <w:t>09.11.2018 г.</w:t>
      </w:r>
    </w:p>
    <w:p w:rsidR="002B6955" w:rsidRPr="00B83A21" w:rsidRDefault="002B6955" w:rsidP="002B6955">
      <w:pPr>
        <w:keepNext/>
        <w:suppressAutoHyphens w:val="0"/>
        <w:ind w:firstLine="567"/>
        <w:jc w:val="both"/>
      </w:pPr>
      <w:r w:rsidRPr="00B83A21">
        <w:rPr>
          <w:lang w:eastAsia="en-US"/>
        </w:rPr>
        <w:t xml:space="preserve">Дата (даты) начала обязательного применения информации, </w:t>
      </w:r>
      <w:proofErr w:type="spellStart"/>
      <w:r w:rsidRPr="00B83A21">
        <w:rPr>
          <w:lang w:eastAsia="en-US"/>
        </w:rPr>
        <w:t>включенной</w:t>
      </w:r>
      <w:proofErr w:type="spellEnd"/>
      <w:r w:rsidRPr="00B83A21">
        <w:rPr>
          <w:lang w:eastAsia="en-US"/>
        </w:rPr>
        <w:t xml:space="preserve"> в поз</w:t>
      </w:r>
      <w:r w:rsidRPr="00B83A21">
        <w:rPr>
          <w:lang w:eastAsia="en-US"/>
        </w:rPr>
        <w:t>и</w:t>
      </w:r>
      <w:r w:rsidRPr="00B83A21">
        <w:rPr>
          <w:lang w:eastAsia="en-US"/>
        </w:rPr>
        <w:t>цию Каталога: 0</w:t>
      </w:r>
      <w:r w:rsidRPr="00B83A21">
        <w:t>1.02.2019 г.</w:t>
      </w:r>
    </w:p>
    <w:p w:rsidR="002B6955" w:rsidRPr="00B83A21" w:rsidRDefault="002B6955" w:rsidP="002B6955">
      <w:pPr>
        <w:keepNext/>
        <w:suppressAutoHyphens w:val="0"/>
        <w:ind w:firstLine="567"/>
        <w:jc w:val="both"/>
        <w:rPr>
          <w:lang w:eastAsia="en-US"/>
        </w:rPr>
      </w:pPr>
      <w:r w:rsidRPr="00B83A21">
        <w:rPr>
          <w:lang w:eastAsia="en-US"/>
        </w:rPr>
        <w:t>Дата окончания применения позиции Каталога (при необх</w:t>
      </w:r>
      <w:r w:rsidRPr="00B83A21">
        <w:rPr>
          <w:lang w:eastAsia="en-US"/>
        </w:rPr>
        <w:t>о</w:t>
      </w:r>
      <w:r w:rsidRPr="00B83A21">
        <w:rPr>
          <w:lang w:eastAsia="en-US"/>
        </w:rPr>
        <w:t>димости): Бессрочно.</w:t>
      </w:r>
    </w:p>
    <w:p w:rsidR="002B6955" w:rsidRPr="00C77C62" w:rsidRDefault="002B6955" w:rsidP="002B6955">
      <w:pPr>
        <w:keepNext/>
        <w:tabs>
          <w:tab w:val="left" w:pos="142"/>
          <w:tab w:val="left" w:pos="3495"/>
        </w:tabs>
        <w:suppressAutoHyphens w:val="0"/>
        <w:ind w:firstLine="567"/>
        <w:jc w:val="both"/>
      </w:pPr>
      <w:r w:rsidRPr="00B83A21"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2B6955" w:rsidRPr="00C77C62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</w:pPr>
    </w:p>
    <w:p w:rsidR="002B6955" w:rsidRPr="00C77C62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  <w:rPr>
          <w:lang w:eastAsia="en-US"/>
        </w:rPr>
      </w:pPr>
      <w:r w:rsidRPr="00C77C62">
        <w:t>Код позиции КТРУ: 27.90.20.120-00000002.</w:t>
      </w:r>
    </w:p>
    <w:p w:rsidR="002B6955" w:rsidRPr="00C77C62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</w:pPr>
      <w:r w:rsidRPr="00C77C62">
        <w:t>Наименование товара / работы / услуги: Сигнализатор звука цифровой с вибрационной индикацией.</w:t>
      </w:r>
    </w:p>
    <w:p w:rsidR="002B6955" w:rsidRPr="00C77C62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</w:pPr>
      <w:r w:rsidRPr="00C77C62">
        <w:lastRenderedPageBreak/>
        <w:t>Единицы измерения количества товара /</w:t>
      </w:r>
      <w:proofErr w:type="spellStart"/>
      <w:r w:rsidRPr="00C77C62">
        <w:t>объема</w:t>
      </w:r>
      <w:proofErr w:type="spellEnd"/>
      <w:r w:rsidRPr="00C77C62"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C77C62">
        <w:t>ОК</w:t>
      </w:r>
      <w:proofErr w:type="gramEnd"/>
      <w:r w:rsidRPr="00C77C62">
        <w:t xml:space="preserve"> 015-94 (ОКЕИ) (при наличии): Штука.</w:t>
      </w:r>
    </w:p>
    <w:p w:rsidR="002B6955" w:rsidRPr="00C77C62" w:rsidRDefault="002B6955" w:rsidP="002B6955">
      <w:pPr>
        <w:keepNext/>
        <w:tabs>
          <w:tab w:val="left" w:pos="0"/>
          <w:tab w:val="left" w:pos="3495"/>
        </w:tabs>
        <w:suppressAutoHyphens w:val="0"/>
        <w:ind w:firstLine="567"/>
        <w:jc w:val="both"/>
      </w:pPr>
      <w:r w:rsidRPr="00C77C62"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27.90.20.120 </w:t>
      </w:r>
      <w:r w:rsidRPr="00C77C62">
        <w:rPr>
          <w:rStyle w:val="sectioninfo2"/>
          <w:color w:val="334059"/>
        </w:rPr>
        <w:t>Приборы световой и звуковой сигнализации электрические</w:t>
      </w:r>
      <w:r w:rsidRPr="00C77C62">
        <w:t>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t xml:space="preserve">Классификация технических средств реабилитации (изделий): 16-01-02 </w:t>
      </w:r>
      <w:r w:rsidRPr="00C77C62">
        <w:rPr>
          <w:color w:val="334059"/>
        </w:rPr>
        <w:t>Сигнализатор звука цифровой с вибрационной индикацией</w:t>
      </w:r>
      <w:r w:rsidRPr="00C77C62">
        <w:t>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rPr>
          <w:lang w:eastAsia="ru-RU"/>
        </w:rPr>
        <w:t xml:space="preserve">Номенклатурная классификация медицинских изделий по видам: </w:t>
      </w:r>
      <w:r w:rsidRPr="00C77C62">
        <w:t>Сведения отсутствуют.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rPr>
          <w:lang w:eastAsia="en-US"/>
        </w:rPr>
        <w:t xml:space="preserve">Дата включения в Каталог позиции: </w:t>
      </w:r>
      <w:r w:rsidRPr="00C77C62">
        <w:t>09.11.2018 г.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rPr>
          <w:lang w:eastAsia="en-US"/>
        </w:rPr>
        <w:t xml:space="preserve">Дата (даты) начала обязательного применения информации, </w:t>
      </w:r>
      <w:proofErr w:type="spellStart"/>
      <w:r w:rsidRPr="00C77C62">
        <w:rPr>
          <w:lang w:eastAsia="en-US"/>
        </w:rPr>
        <w:t>включенной</w:t>
      </w:r>
      <w:proofErr w:type="spellEnd"/>
      <w:r w:rsidRPr="00C77C62">
        <w:rPr>
          <w:lang w:eastAsia="en-US"/>
        </w:rPr>
        <w:t xml:space="preserve"> в поз</w:t>
      </w:r>
      <w:r w:rsidRPr="00C77C62">
        <w:rPr>
          <w:lang w:eastAsia="en-US"/>
        </w:rPr>
        <w:t>и</w:t>
      </w:r>
      <w:r w:rsidRPr="00C77C62">
        <w:rPr>
          <w:lang w:eastAsia="en-US"/>
        </w:rPr>
        <w:t>цию Каталога: 0</w:t>
      </w:r>
      <w:r w:rsidRPr="00C77C62">
        <w:t>1.02.2019 г.</w:t>
      </w:r>
    </w:p>
    <w:p w:rsidR="002B6955" w:rsidRPr="00C77C62" w:rsidRDefault="002B6955" w:rsidP="002B6955">
      <w:pPr>
        <w:keepNext/>
        <w:suppressAutoHyphens w:val="0"/>
        <w:ind w:firstLine="567"/>
        <w:jc w:val="both"/>
        <w:rPr>
          <w:lang w:eastAsia="en-US"/>
        </w:rPr>
      </w:pPr>
      <w:r w:rsidRPr="00C77C62">
        <w:rPr>
          <w:lang w:eastAsia="en-US"/>
        </w:rPr>
        <w:t>Дата окончания применения позиции Каталога (при необх</w:t>
      </w:r>
      <w:r w:rsidRPr="00C77C62">
        <w:rPr>
          <w:lang w:eastAsia="en-US"/>
        </w:rPr>
        <w:t>о</w:t>
      </w:r>
      <w:r w:rsidRPr="00C77C62">
        <w:rPr>
          <w:lang w:eastAsia="en-US"/>
        </w:rPr>
        <w:t>димости): Бессрочно.</w:t>
      </w:r>
    </w:p>
    <w:p w:rsidR="002B6955" w:rsidRPr="00C77C62" w:rsidRDefault="002B6955" w:rsidP="002B6955">
      <w:pPr>
        <w:keepNext/>
        <w:tabs>
          <w:tab w:val="left" w:pos="142"/>
          <w:tab w:val="left" w:pos="3495"/>
        </w:tabs>
        <w:suppressAutoHyphens w:val="0"/>
        <w:ind w:firstLine="567"/>
        <w:jc w:val="both"/>
      </w:pPr>
      <w:r w:rsidRPr="00C77C62"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2B6955" w:rsidRPr="00C77C62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</w:pPr>
    </w:p>
    <w:p w:rsidR="002B6955" w:rsidRPr="00C77C62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  <w:rPr>
          <w:lang w:eastAsia="en-US"/>
        </w:rPr>
      </w:pPr>
      <w:r w:rsidRPr="00C77C62">
        <w:t>Код позиции КТРУ: 27.90.20.120-00000003.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t>Наименование товара / работы / услуги: Сигнализатор звука цифровой с вибрационной и световой индикацией.</w:t>
      </w:r>
    </w:p>
    <w:p w:rsidR="002B6955" w:rsidRPr="00C77C62" w:rsidRDefault="002B6955" w:rsidP="002B6955">
      <w:pPr>
        <w:pStyle w:val="a3"/>
        <w:keepNext/>
        <w:tabs>
          <w:tab w:val="left" w:pos="180"/>
        </w:tabs>
        <w:suppressAutoHyphens w:val="0"/>
        <w:ind w:firstLine="567"/>
        <w:jc w:val="both"/>
      </w:pPr>
      <w:r w:rsidRPr="00C77C62">
        <w:t>Единицы измерения количества товара /</w:t>
      </w:r>
      <w:proofErr w:type="spellStart"/>
      <w:r w:rsidRPr="00C77C62">
        <w:t>объема</w:t>
      </w:r>
      <w:proofErr w:type="spellEnd"/>
      <w:r w:rsidRPr="00C77C62"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C77C62">
        <w:t>ОК</w:t>
      </w:r>
      <w:proofErr w:type="gramEnd"/>
      <w:r w:rsidRPr="00C77C62">
        <w:t xml:space="preserve"> 015-94 (ОКЕИ) (при наличии): Штука.</w:t>
      </w:r>
    </w:p>
    <w:p w:rsidR="002B6955" w:rsidRPr="00C77C62" w:rsidRDefault="002B6955" w:rsidP="002B6955">
      <w:pPr>
        <w:keepNext/>
        <w:tabs>
          <w:tab w:val="left" w:pos="0"/>
          <w:tab w:val="left" w:pos="3495"/>
        </w:tabs>
        <w:suppressAutoHyphens w:val="0"/>
        <w:ind w:firstLine="567"/>
        <w:jc w:val="both"/>
      </w:pPr>
      <w:r w:rsidRPr="00C77C62"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27.90.20.120 </w:t>
      </w:r>
      <w:r w:rsidRPr="00C77C62">
        <w:rPr>
          <w:rStyle w:val="sectioninfo2"/>
          <w:color w:val="334059"/>
        </w:rPr>
        <w:t>Приборы световой и звуковой сигнализации электрические</w:t>
      </w:r>
      <w:r w:rsidRPr="00C77C62">
        <w:t>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t xml:space="preserve">Классификация технических средств реабилитации (изделий): 16-01-03 </w:t>
      </w:r>
      <w:r w:rsidRPr="00C77C62">
        <w:rPr>
          <w:color w:val="334059"/>
        </w:rPr>
        <w:t>Сигнализатор звука цифровой с вибрационной и световой индикацией</w:t>
      </w:r>
      <w:r w:rsidRPr="00C77C62">
        <w:t>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rPr>
          <w:lang w:eastAsia="ru-RU"/>
        </w:rPr>
        <w:t xml:space="preserve">Номенклатурная классификация медицинских изделий по видам: </w:t>
      </w:r>
      <w:r w:rsidRPr="00C77C62">
        <w:t>Сведения отсутствуют.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rPr>
          <w:lang w:eastAsia="en-US"/>
        </w:rPr>
        <w:t xml:space="preserve">Дата включения в Каталог позиции: </w:t>
      </w:r>
      <w:r w:rsidRPr="00C77C62">
        <w:t>09.11.2018 г.</w:t>
      </w:r>
    </w:p>
    <w:p w:rsidR="002B6955" w:rsidRPr="00C77C62" w:rsidRDefault="002B6955" w:rsidP="002B6955">
      <w:pPr>
        <w:keepNext/>
        <w:suppressAutoHyphens w:val="0"/>
        <w:ind w:firstLine="567"/>
        <w:jc w:val="both"/>
      </w:pPr>
      <w:r w:rsidRPr="00C77C62">
        <w:rPr>
          <w:lang w:eastAsia="en-US"/>
        </w:rPr>
        <w:t xml:space="preserve">Дата (даты) начала обязательного применения информации, </w:t>
      </w:r>
      <w:proofErr w:type="spellStart"/>
      <w:r w:rsidRPr="00C77C62">
        <w:rPr>
          <w:lang w:eastAsia="en-US"/>
        </w:rPr>
        <w:t>включенной</w:t>
      </w:r>
      <w:proofErr w:type="spellEnd"/>
      <w:r w:rsidRPr="00C77C62">
        <w:rPr>
          <w:lang w:eastAsia="en-US"/>
        </w:rPr>
        <w:t xml:space="preserve"> в поз</w:t>
      </w:r>
      <w:r w:rsidRPr="00C77C62">
        <w:rPr>
          <w:lang w:eastAsia="en-US"/>
        </w:rPr>
        <w:t>и</w:t>
      </w:r>
      <w:r w:rsidRPr="00C77C62">
        <w:rPr>
          <w:lang w:eastAsia="en-US"/>
        </w:rPr>
        <w:t>цию Каталога: 0</w:t>
      </w:r>
      <w:r w:rsidRPr="00C77C62">
        <w:t>1.02.2019 г.</w:t>
      </w:r>
    </w:p>
    <w:p w:rsidR="002B6955" w:rsidRPr="00C77C62" w:rsidRDefault="002B6955" w:rsidP="002B6955">
      <w:pPr>
        <w:keepNext/>
        <w:suppressAutoHyphens w:val="0"/>
        <w:ind w:firstLine="567"/>
        <w:jc w:val="both"/>
        <w:rPr>
          <w:lang w:eastAsia="en-US"/>
        </w:rPr>
      </w:pPr>
      <w:r w:rsidRPr="00C77C62">
        <w:rPr>
          <w:lang w:eastAsia="en-US"/>
        </w:rPr>
        <w:t>Дата окончания применения позиции Каталога (при необх</w:t>
      </w:r>
      <w:r w:rsidRPr="00C77C62">
        <w:rPr>
          <w:lang w:eastAsia="en-US"/>
        </w:rPr>
        <w:t>о</w:t>
      </w:r>
      <w:r w:rsidRPr="00C77C62">
        <w:rPr>
          <w:lang w:eastAsia="en-US"/>
        </w:rPr>
        <w:t>димости): Бессрочно.</w:t>
      </w:r>
    </w:p>
    <w:p w:rsidR="002B6955" w:rsidRPr="00A72DDE" w:rsidRDefault="002B6955" w:rsidP="002B6955">
      <w:pPr>
        <w:keepNext/>
        <w:tabs>
          <w:tab w:val="left" w:pos="142"/>
          <w:tab w:val="left" w:pos="3495"/>
        </w:tabs>
        <w:suppressAutoHyphens w:val="0"/>
        <w:ind w:firstLine="567"/>
        <w:jc w:val="both"/>
      </w:pPr>
      <w:r w:rsidRPr="00C77C62"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2B6955" w:rsidRDefault="002B6955" w:rsidP="002B6955">
      <w:pPr>
        <w:keepNext/>
        <w:widowControl w:val="0"/>
        <w:tabs>
          <w:tab w:val="left" w:pos="180"/>
        </w:tabs>
        <w:suppressAutoHyphens w:val="0"/>
        <w:ind w:firstLine="851"/>
        <w:jc w:val="center"/>
        <w:rPr>
          <w:rFonts w:eastAsia="Arial"/>
          <w:b/>
        </w:rPr>
      </w:pPr>
    </w:p>
    <w:p w:rsidR="002B6955" w:rsidRDefault="002B6955" w:rsidP="002B6955">
      <w:pPr>
        <w:keepNext/>
        <w:widowControl w:val="0"/>
        <w:tabs>
          <w:tab w:val="left" w:pos="180"/>
        </w:tabs>
        <w:suppressAutoHyphens w:val="0"/>
        <w:ind w:firstLine="851"/>
        <w:jc w:val="center"/>
        <w:rPr>
          <w:rFonts w:eastAsia="Arial"/>
          <w:b/>
        </w:rPr>
      </w:pP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56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4A56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6955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B695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2B6955"/>
    <w:pPr>
      <w:suppressLineNumbers/>
      <w:jc w:val="both"/>
    </w:pPr>
    <w:rPr>
      <w:sz w:val="24"/>
      <w:szCs w:val="24"/>
    </w:rPr>
  </w:style>
  <w:style w:type="character" w:customStyle="1" w:styleId="sectioninfo2">
    <w:name w:val="section__info2"/>
    <w:rsid w:val="002B6955"/>
    <w:rPr>
      <w:vanish w:val="0"/>
      <w:webHidden w:val="0"/>
      <w:specVanish w:val="0"/>
    </w:rPr>
  </w:style>
  <w:style w:type="character" w:customStyle="1" w:styleId="ng-binding">
    <w:name w:val="ng-binding"/>
    <w:rsid w:val="002B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B695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2B6955"/>
    <w:pPr>
      <w:suppressLineNumbers/>
      <w:jc w:val="both"/>
    </w:pPr>
    <w:rPr>
      <w:sz w:val="24"/>
      <w:szCs w:val="24"/>
    </w:rPr>
  </w:style>
  <w:style w:type="character" w:customStyle="1" w:styleId="sectioninfo2">
    <w:name w:val="section__info2"/>
    <w:rsid w:val="002B6955"/>
    <w:rPr>
      <w:vanish w:val="0"/>
      <w:webHidden w:val="0"/>
      <w:specVanish w:val="0"/>
    </w:rPr>
  </w:style>
  <w:style w:type="character" w:customStyle="1" w:styleId="ng-binding">
    <w:name w:val="ng-binding"/>
    <w:rsid w:val="002B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3148</Words>
  <Characters>17949</Characters>
  <Application>Microsoft Office Word</Application>
  <DocSecurity>0</DocSecurity>
  <Lines>149</Lines>
  <Paragraphs>42</Paragraphs>
  <ScaleCrop>false</ScaleCrop>
  <Company/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2021-09-29T11:15:00Z</dcterms:created>
  <dcterms:modified xsi:type="dcterms:W3CDTF">2021-09-29T11:15:00Z</dcterms:modified>
</cp:coreProperties>
</file>