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0" w:rsidRDefault="008F2770" w:rsidP="008F2770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405136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850"/>
        <w:gridCol w:w="1276"/>
      </w:tblGrid>
      <w:tr w:rsidR="008F2770" w:rsidRPr="000A5F87" w:rsidTr="008F2770">
        <w:trPr>
          <w:jc w:val="right"/>
        </w:trPr>
        <w:tc>
          <w:tcPr>
            <w:tcW w:w="1701" w:type="dxa"/>
            <w:vAlign w:val="center"/>
          </w:tcPr>
          <w:p w:rsidR="008F2770" w:rsidRPr="000A5F87" w:rsidRDefault="008F2770" w:rsidP="00B73CA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F87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096" w:type="dxa"/>
            <w:vAlign w:val="center"/>
          </w:tcPr>
          <w:p w:rsidR="008F2770" w:rsidRPr="000A5F87" w:rsidRDefault="008F2770" w:rsidP="00B73CA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F87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vAlign w:val="center"/>
          </w:tcPr>
          <w:p w:rsidR="008F2770" w:rsidRPr="000A5F87" w:rsidRDefault="008F2770" w:rsidP="00B73CA1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8F2770" w:rsidRPr="000A5F87" w:rsidRDefault="008F2770" w:rsidP="00B73CA1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</w:tr>
      <w:tr w:rsidR="008F2770" w:rsidRPr="000A5F87" w:rsidTr="008F2770">
        <w:trPr>
          <w:trHeight w:val="4424"/>
          <w:jc w:val="right"/>
        </w:trPr>
        <w:tc>
          <w:tcPr>
            <w:tcW w:w="1701" w:type="dxa"/>
            <w:vAlign w:val="center"/>
          </w:tcPr>
          <w:p w:rsidR="008F2770" w:rsidRPr="000A5F87" w:rsidRDefault="008F2770" w:rsidP="00B73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6096" w:type="dxa"/>
          </w:tcPr>
          <w:p w:rsidR="008F2770" w:rsidRPr="00CB71EF" w:rsidRDefault="008F2770" w:rsidP="00B73CA1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модульный для купания с силиконовым чехлом. Пробная приемная гильза должна быть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>. Постоянная приемная гильза должна быть по слепку из литьевого слоистого пластика на основе акриловых смол или листового термопластика. В качестве вкладного элемента должны применяться чехлы гел</w:t>
            </w:r>
            <w:r>
              <w:rPr>
                <w:sz w:val="22"/>
                <w:szCs w:val="22"/>
              </w:rPr>
              <w:t>и</w:t>
            </w:r>
            <w:r w:rsidRPr="00CB71EF">
              <w:rPr>
                <w:sz w:val="22"/>
                <w:szCs w:val="22"/>
              </w:rPr>
              <w:t>евые или силиконовые с матрицей с высоким уровнем поглощения динамических нагрузок</w:t>
            </w:r>
            <w:r>
              <w:rPr>
                <w:sz w:val="22"/>
                <w:szCs w:val="22"/>
              </w:rPr>
              <w:t>. Крепл</w:t>
            </w:r>
            <w:r w:rsidRPr="00CB71EF">
              <w:rPr>
                <w:sz w:val="22"/>
                <w:szCs w:val="22"/>
              </w:rPr>
              <w:t xml:space="preserve">ение протеза голени должно осуществляться с использованием полимерных гелиевых наколенников.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CB71EF">
              <w:rPr>
                <w:sz w:val="22"/>
                <w:szCs w:val="22"/>
              </w:rPr>
              <w:t>безкаблучная</w:t>
            </w:r>
            <w:proofErr w:type="spellEnd"/>
            <w:r w:rsidRPr="00CB71EF">
              <w:rPr>
                <w:sz w:val="22"/>
                <w:szCs w:val="22"/>
              </w:rPr>
              <w:t xml:space="preserve">, иметь решетчатый профиль и благодаря специальной композиции, применяемых материалов и форме, обладать очень хорошей </w:t>
            </w:r>
            <w:proofErr w:type="spellStart"/>
            <w:r w:rsidRPr="00CB71EF">
              <w:rPr>
                <w:sz w:val="22"/>
                <w:szCs w:val="22"/>
              </w:rPr>
              <w:t>сцепляемостью</w:t>
            </w:r>
            <w:proofErr w:type="spellEnd"/>
            <w:r w:rsidRPr="00CB71EF">
              <w:rPr>
                <w:sz w:val="22"/>
                <w:szCs w:val="22"/>
              </w:rPr>
              <w:t xml:space="preserve"> с опорной поверхностью, предотвращающее проскальзывание по мокрой поверхности. Стопа должна иметь естественную форму с отформованными пальцами и отведенным большим пальцем. Все компоненты модульной системы должны быть водостойкими, иметь улучшенный современный дизайн и подходить для пациентов с весом тела не менее 150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A97C62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B71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</w:tr>
      <w:tr w:rsidR="008F2770" w:rsidRPr="000A5F87" w:rsidTr="008F2770">
        <w:trPr>
          <w:jc w:val="right"/>
        </w:trPr>
        <w:tc>
          <w:tcPr>
            <w:tcW w:w="1701" w:type="dxa"/>
            <w:vAlign w:val="center"/>
          </w:tcPr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>Протез голени немодульный, в том числе при врожденном недоразвитии</w:t>
            </w: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</w:p>
          <w:p w:rsidR="008F2770" w:rsidRPr="00CB71EF" w:rsidRDefault="008F2770" w:rsidP="00B73C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8F2770" w:rsidRPr="00CB71EF" w:rsidRDefault="008F2770" w:rsidP="00B73CA1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немодульный должен быть каркасного типа с манжетой на бедро. Приемные гильзы бедра и голени должны быть каркасными на шнуровке или ремешках. Каркас протеза должен быть собран из шин стальных или </w:t>
            </w:r>
            <w:proofErr w:type="gramStart"/>
            <w:r w:rsidRPr="00CB71EF">
              <w:rPr>
                <w:sz w:val="22"/>
                <w:szCs w:val="22"/>
              </w:rPr>
              <w:t>алюминиевых</w:t>
            </w:r>
            <w:proofErr w:type="gramEnd"/>
            <w:r w:rsidRPr="00CB71EF">
              <w:rPr>
                <w:sz w:val="22"/>
                <w:szCs w:val="22"/>
              </w:rPr>
              <w:t xml:space="preserve"> или титановых. В качестве антикоррозийного покрытия должна применяться краска или напыление. Щиколотка протеза должна быть металлическая или деревянная. Стопа должна быть </w:t>
            </w:r>
            <w:proofErr w:type="spellStart"/>
            <w:r w:rsidRPr="00CB71EF">
              <w:rPr>
                <w:sz w:val="22"/>
                <w:szCs w:val="22"/>
              </w:rPr>
              <w:t>полиуритановая</w:t>
            </w:r>
            <w:proofErr w:type="spellEnd"/>
            <w:r w:rsidRPr="00CB71EF">
              <w:rPr>
                <w:sz w:val="22"/>
                <w:szCs w:val="22"/>
              </w:rPr>
              <w:t xml:space="preserve"> с эластичной носочной частью. Крепление постоянное </w:t>
            </w:r>
            <w:proofErr w:type="spellStart"/>
            <w:r w:rsidRPr="00CB71EF">
              <w:rPr>
                <w:sz w:val="22"/>
                <w:szCs w:val="22"/>
              </w:rPr>
              <w:t>кожанное</w:t>
            </w:r>
            <w:proofErr w:type="spellEnd"/>
            <w:r w:rsidRPr="00CB71EF">
              <w:rPr>
                <w:sz w:val="22"/>
                <w:szCs w:val="22"/>
              </w:rPr>
              <w:t>. Чехлы на культю голени должны быть шерстяные или хлопчатобумажные на выбор получателя в количестве 8 штук. Протез должен быть предназначен для перемещения как в помещении, так и на открытой местности. Тип протеза-постоянный.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  <w:tr w:rsidR="008F2770" w:rsidRPr="000A5F87" w:rsidTr="008F2770">
        <w:trPr>
          <w:jc w:val="right"/>
        </w:trPr>
        <w:tc>
          <w:tcPr>
            <w:tcW w:w="1701" w:type="dxa"/>
            <w:vAlign w:val="center"/>
          </w:tcPr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</w:p>
          <w:p w:rsidR="008F2770" w:rsidRPr="00CB71EF" w:rsidRDefault="008F2770" w:rsidP="00B73C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8F2770" w:rsidRPr="00CB71EF" w:rsidRDefault="008F2770" w:rsidP="00B73CA1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>Протез голени модульный долже</w:t>
            </w:r>
            <w:r>
              <w:rPr>
                <w:sz w:val="22"/>
                <w:szCs w:val="22"/>
              </w:rPr>
              <w:t xml:space="preserve">н быть без силиконового чехла. </w:t>
            </w:r>
            <w:r w:rsidRPr="00CB71EF">
              <w:rPr>
                <w:sz w:val="22"/>
                <w:szCs w:val="22"/>
              </w:rPr>
              <w:t xml:space="preserve">Пробная приемная гильза должна изготавливаться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Постоянная приемная гильза </w:t>
            </w:r>
            <w:r w:rsidRPr="00CB71EF">
              <w:rPr>
                <w:sz w:val="22"/>
                <w:szCs w:val="22"/>
              </w:rPr>
              <w:t xml:space="preserve">должна быть изготовлена по слепку из литьевого слоистого пластика на основе акриловых смол, вкладная гильза - из вспененных материалов, крепление протеза - с использованием полимерного гелиевого наколенника или кожаных полуфабрикатов или бандажом. Регулировочно-соединительные устройства должны соответствовать весу инвалида на нагрузку до 125 кг, стопа - со средней степенью энергосбережения. Облицовка должна быть мягкая полиуретановая модульная (поролон), покрытие облицовки - чулки </w:t>
            </w:r>
            <w:proofErr w:type="spellStart"/>
            <w:r w:rsidRPr="00CB71EF">
              <w:rPr>
                <w:sz w:val="22"/>
                <w:szCs w:val="22"/>
              </w:rPr>
              <w:t>перлоновые</w:t>
            </w:r>
            <w:proofErr w:type="spellEnd"/>
            <w:r w:rsidRPr="00CB71EF">
              <w:rPr>
                <w:sz w:val="22"/>
                <w:szCs w:val="22"/>
              </w:rPr>
              <w:t xml:space="preserve"> ортопедические. Протез должен иметь чехлы на культю голени шерстяные или хлопчатобумажные -  8 шт. (на выбор). Тип протеза -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  <w:tr w:rsidR="008F2770" w:rsidRPr="000A5F87" w:rsidTr="008F2770">
        <w:trPr>
          <w:jc w:val="right"/>
        </w:trPr>
        <w:tc>
          <w:tcPr>
            <w:tcW w:w="1701" w:type="dxa"/>
            <w:vAlign w:val="center"/>
          </w:tcPr>
          <w:p w:rsidR="008F2770" w:rsidRPr="00CD156F" w:rsidRDefault="008F2770" w:rsidP="00B73CA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8F2770" w:rsidRPr="00CB71EF" w:rsidRDefault="008F2770" w:rsidP="00B73CA1">
            <w:pPr>
              <w:jc w:val="center"/>
              <w:rPr>
                <w:sz w:val="22"/>
                <w:szCs w:val="22"/>
              </w:rPr>
            </w:pPr>
          </w:p>
          <w:p w:rsidR="008F2770" w:rsidRPr="00CD156F" w:rsidRDefault="008F2770" w:rsidP="00B73CA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vAlign w:val="center"/>
          </w:tcPr>
          <w:p w:rsidR="008F2770" w:rsidRPr="00CB71EF" w:rsidRDefault="008F2770" w:rsidP="00B73CA1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lastRenderedPageBreak/>
              <w:t xml:space="preserve">Протез голени модульного должен быть с силиконовым чехлом. Пробная приемная гильза должна изготавливаться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, постоянная приемная гильза - по слепку из литьевого слоистого пластика на основе акриловых смол. Чехлы должны быть полимерные гелиевые с высоким уровнем стабилизации. Крепление протеза должно быть с </w:t>
            </w:r>
            <w:r w:rsidRPr="00CB71EF">
              <w:rPr>
                <w:sz w:val="22"/>
                <w:szCs w:val="22"/>
              </w:rPr>
              <w:lastRenderedPageBreak/>
              <w:t xml:space="preserve">использованием замка для полимерных чехлов и полимерных гелиевых наколенников. Регулировочно-соединительные устройства должны соответствовать весу инвалида на нагрузку до 125кг, стопа - со средней степенью энергосбережения. Облицовка должна быть мягкая модульная полиуретановая (поролон), покрытие облицовки - чулки </w:t>
            </w:r>
            <w:proofErr w:type="spellStart"/>
            <w:r w:rsidRPr="00CB71EF">
              <w:rPr>
                <w:sz w:val="22"/>
                <w:szCs w:val="22"/>
              </w:rPr>
              <w:t>перлоновые</w:t>
            </w:r>
            <w:proofErr w:type="spellEnd"/>
            <w:r w:rsidRPr="00CB71EF">
              <w:rPr>
                <w:sz w:val="22"/>
                <w:szCs w:val="22"/>
              </w:rPr>
              <w:t xml:space="preserve"> ортопедические. Тип протеза -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  <w:tr w:rsidR="008F2770" w:rsidRPr="000A5F87" w:rsidTr="008F2770">
        <w:trPr>
          <w:jc w:val="right"/>
        </w:trPr>
        <w:tc>
          <w:tcPr>
            <w:tcW w:w="1701" w:type="dxa"/>
            <w:vAlign w:val="center"/>
          </w:tcPr>
          <w:p w:rsidR="008F2770" w:rsidRPr="00462A1E" w:rsidRDefault="008F2770" w:rsidP="00B73CA1">
            <w:pPr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lastRenderedPageBreak/>
              <w:t xml:space="preserve">Протез бедра модульный, в том числе при врожденном недоразвитии </w:t>
            </w:r>
          </w:p>
        </w:tc>
        <w:tc>
          <w:tcPr>
            <w:tcW w:w="6096" w:type="dxa"/>
            <w:vAlign w:val="center"/>
          </w:tcPr>
          <w:p w:rsidR="008F2770" w:rsidRPr="00CB71EF" w:rsidRDefault="008F2770" w:rsidP="00B73CA1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бедра модульный должен быть без силиконового чехла. Пробная приемная гильза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. Постоянная приемная гильза должна изготавливаться по слепку из литьевого слоистого пластика на основе акриловых смол. Коленный шарнир должен быть модульный с тормозным механизмом, моноцентрический с толкателем и предохранительным чехлом или четырехосный коленный шарнир. Регулировочно-соединительные устройства должны соответствовать весу инвалида. Стопа должна быть со средней степенью энергосбережения. Облицовка должна быть мягкой модульной </w:t>
            </w:r>
            <w:proofErr w:type="spellStart"/>
            <w:r w:rsidRPr="00CB71EF">
              <w:rPr>
                <w:sz w:val="22"/>
                <w:szCs w:val="22"/>
              </w:rPr>
              <w:t>полиуритановой</w:t>
            </w:r>
            <w:proofErr w:type="spellEnd"/>
            <w:r w:rsidRPr="00CB71EF">
              <w:rPr>
                <w:sz w:val="22"/>
                <w:szCs w:val="22"/>
              </w:rPr>
              <w:t xml:space="preserve">. Косметическое покрытие облицовки-чулки ортопедические </w:t>
            </w:r>
            <w:proofErr w:type="spellStart"/>
            <w:r w:rsidRPr="00CB71EF">
              <w:rPr>
                <w:sz w:val="22"/>
                <w:szCs w:val="22"/>
              </w:rPr>
              <w:t>перлоновые</w:t>
            </w:r>
            <w:proofErr w:type="spellEnd"/>
            <w:r w:rsidRPr="00CB71EF">
              <w:rPr>
                <w:sz w:val="22"/>
                <w:szCs w:val="22"/>
              </w:rPr>
              <w:t>. Крепление протеза должно быть поясное. Чехлы на культю бедра шерстяные или хлопчатобумажные (на выбор получателя) в количестве 8 штук. Тип протеза-постоянный.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770" w:rsidRPr="000A5F87" w:rsidRDefault="008F2770" w:rsidP="00B73C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</w:tr>
    </w:tbl>
    <w:p w:rsidR="008F2770" w:rsidRPr="00880DE8" w:rsidRDefault="008F2770" w:rsidP="008F2770">
      <w:pPr>
        <w:widowControl w:val="0"/>
        <w:suppressAutoHyphens/>
        <w:autoSpaceDN w:val="0"/>
        <w:ind w:right="1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 xml:space="preserve">Выполнение работ по протезированию направлено на изготовление технических устройств, к которым относятся протезы нижних конечностей для обеспечения механической фиксации, разгрузки, компенсации поврежденных, реконструированных суставов, костей, </w:t>
      </w:r>
      <w:proofErr w:type="spellStart"/>
      <w:r w:rsidRPr="00880DE8">
        <w:rPr>
          <w:rFonts w:eastAsia="Lucida Sans Unicode"/>
          <w:color w:val="000000"/>
          <w:sz w:val="22"/>
          <w:lang w:eastAsia="en-US" w:bidi="en-US"/>
        </w:rPr>
        <w:t>сумочно</w:t>
      </w:r>
      <w:proofErr w:type="spellEnd"/>
      <w:r w:rsidRPr="00880DE8">
        <w:rPr>
          <w:rFonts w:eastAsia="Lucida Sans Unicode"/>
          <w:color w:val="000000"/>
          <w:sz w:val="22"/>
          <w:lang w:eastAsia="en-US" w:bidi="en-US"/>
        </w:rPr>
        <w:t>-связочного, мышечно-связочного аппарата и других функций организма.</w:t>
      </w:r>
    </w:p>
    <w:p w:rsidR="008F2770" w:rsidRPr="00880DE8" w:rsidRDefault="008F2770" w:rsidP="008F2770">
      <w:pPr>
        <w:widowControl w:val="0"/>
        <w:suppressAutoHyphens/>
        <w:autoSpaceDN w:val="0"/>
        <w:ind w:right="1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Выполнение работ должно включать комплекс медицинских, технических и социальных мероприятий, проводимых с инвалид</w:t>
      </w:r>
      <w:r>
        <w:rPr>
          <w:rFonts w:eastAsia="Lucida Sans Unicode"/>
          <w:color w:val="000000"/>
          <w:sz w:val="22"/>
          <w:lang w:eastAsia="en-US" w:bidi="en-US"/>
        </w:rPr>
        <w:t>ом</w:t>
      </w:r>
      <w:r w:rsidRPr="00880DE8">
        <w:rPr>
          <w:rFonts w:eastAsia="Lucida Sans Unicode"/>
          <w:color w:val="000000"/>
          <w:sz w:val="22"/>
          <w:lang w:eastAsia="en-US" w:bidi="en-US"/>
        </w:rPr>
        <w:t>, имеющим</w:t>
      </w:r>
      <w:r>
        <w:rPr>
          <w:rFonts w:eastAsia="Lucida Sans Unicode"/>
          <w:color w:val="000000"/>
          <w:sz w:val="22"/>
          <w:lang w:eastAsia="en-US" w:bidi="en-US"/>
        </w:rPr>
        <w:t xml:space="preserve"> 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обеспечивает лечение, восстановление, и компенсацию утраченных функций организма и неустранимых анатомических дефектов и деформаций. </w:t>
      </w:r>
    </w:p>
    <w:p w:rsidR="008F2770" w:rsidRPr="00880DE8" w:rsidRDefault="008F2770" w:rsidP="008F2770">
      <w:pPr>
        <w:widowControl w:val="0"/>
        <w:ind w:right="1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>Издели</w:t>
      </w:r>
      <w:r>
        <w:rPr>
          <w:rFonts w:eastAsia="Lucida Sans Unicode"/>
          <w:kern w:val="1"/>
          <w:sz w:val="22"/>
          <w:lang w:eastAsia="en-US"/>
        </w:rPr>
        <w:t xml:space="preserve">е </w:t>
      </w:r>
      <w:r w:rsidRPr="00880DE8">
        <w:rPr>
          <w:rFonts w:eastAsia="Lucida Sans Unicode"/>
          <w:kern w:val="1"/>
          <w:sz w:val="22"/>
          <w:lang w:eastAsia="en-US"/>
        </w:rPr>
        <w:t>должн</w:t>
      </w:r>
      <w:r>
        <w:rPr>
          <w:rFonts w:eastAsia="Lucida Sans Unicode"/>
          <w:kern w:val="1"/>
          <w:sz w:val="22"/>
          <w:lang w:eastAsia="en-US"/>
        </w:rPr>
        <w:t xml:space="preserve">о </w:t>
      </w:r>
      <w:r w:rsidRPr="00880DE8">
        <w:rPr>
          <w:rFonts w:eastAsia="Lucida Sans Unicode"/>
          <w:kern w:val="1"/>
          <w:sz w:val="22"/>
          <w:lang w:eastAsia="en-US"/>
        </w:rPr>
        <w:t>отвечать требованиям:</w:t>
      </w:r>
    </w:p>
    <w:p w:rsidR="008F2770" w:rsidRPr="00880DE8" w:rsidRDefault="008F2770" w:rsidP="008F2770">
      <w:pPr>
        <w:widowControl w:val="0"/>
        <w:ind w:right="1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 xml:space="preserve">-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880DE8">
        <w:rPr>
          <w:rFonts w:eastAsia="Lucida Sans Unicode"/>
          <w:kern w:val="1"/>
          <w:sz w:val="22"/>
          <w:lang w:eastAsia="en-US"/>
        </w:rPr>
        <w:t>ортезы</w:t>
      </w:r>
      <w:proofErr w:type="spellEnd"/>
      <w:r w:rsidRPr="00880DE8">
        <w:rPr>
          <w:rFonts w:eastAsia="Lucida Sans Unicode"/>
          <w:kern w:val="1"/>
          <w:sz w:val="22"/>
          <w:lang w:eastAsia="en-US"/>
        </w:rPr>
        <w:t xml:space="preserve"> наружные. Требования и методы испытаний»;</w:t>
      </w:r>
    </w:p>
    <w:p w:rsidR="008F2770" w:rsidRPr="00880DE8" w:rsidRDefault="008F2770" w:rsidP="008F2770">
      <w:pPr>
        <w:widowControl w:val="0"/>
        <w:ind w:right="1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 xml:space="preserve">- Межгосударственных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80DE8">
        <w:rPr>
          <w:rFonts w:eastAsia="Lucida Sans Unicode"/>
          <w:kern w:val="1"/>
          <w:sz w:val="22"/>
          <w:lang w:eastAsia="en-US"/>
        </w:rPr>
        <w:t>цитотоксичность</w:t>
      </w:r>
      <w:proofErr w:type="spellEnd"/>
      <w:r w:rsidRPr="00880DE8">
        <w:rPr>
          <w:rFonts w:eastAsia="Lucida Sans Unicode"/>
          <w:kern w:val="1"/>
          <w:sz w:val="22"/>
          <w:lang w:eastAsia="en-US"/>
        </w:rPr>
        <w:t xml:space="preserve">: методы </w:t>
      </w:r>
      <w:r w:rsidRPr="00880DE8">
        <w:rPr>
          <w:rFonts w:eastAsia="Lucida Sans Unicode"/>
          <w:kern w:val="1"/>
          <w:sz w:val="22"/>
          <w:lang w:val="en-US" w:eastAsia="en-US"/>
        </w:rPr>
        <w:t>in</w:t>
      </w:r>
      <w:r w:rsidRPr="00880DE8">
        <w:rPr>
          <w:rFonts w:eastAsia="Lucida Sans Unicode"/>
          <w:kern w:val="1"/>
          <w:sz w:val="22"/>
          <w:lang w:eastAsia="en-US"/>
        </w:rPr>
        <w:t xml:space="preserve"> </w:t>
      </w:r>
      <w:r w:rsidRPr="00880DE8">
        <w:rPr>
          <w:rFonts w:eastAsia="Lucida Sans Unicode"/>
          <w:kern w:val="1"/>
          <w:sz w:val="22"/>
          <w:lang w:val="en-US" w:eastAsia="en-US"/>
        </w:rPr>
        <w:t>vitro</w:t>
      </w:r>
      <w:r w:rsidRPr="00880DE8">
        <w:rPr>
          <w:rFonts w:eastAsia="Lucida Sans Unicode"/>
          <w:kern w:val="1"/>
          <w:sz w:val="22"/>
          <w:lang w:eastAsia="en-US"/>
        </w:rPr>
        <w:t xml:space="preserve">», </w:t>
      </w:r>
      <w:bookmarkStart w:id="0" w:name="_GoBack"/>
      <w:bookmarkEnd w:id="0"/>
      <w:r w:rsidRPr="00880DE8">
        <w:rPr>
          <w:rFonts w:eastAsia="Lucida Sans Unicode"/>
          <w:kern w:val="1"/>
          <w:sz w:val="22"/>
          <w:lang w:eastAsia="en-US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F2770" w:rsidRDefault="008F2770" w:rsidP="008F2770">
      <w:pPr>
        <w:widowControl w:val="0"/>
        <w:suppressAutoHyphens/>
        <w:autoSpaceDN w:val="0"/>
        <w:ind w:right="1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Маркировка, упаковка, хранение и транспортировка протез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к месту нахождения инвалид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должна осуществляться с соблю</w:t>
      </w:r>
      <w:r>
        <w:rPr>
          <w:rFonts w:eastAsia="Lucida Sans Unicode"/>
          <w:color w:val="000000"/>
          <w:sz w:val="22"/>
          <w:lang w:eastAsia="en-US" w:bidi="en-US"/>
        </w:rPr>
        <w:t>дением требований ГОСТ 20790-93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 </w:t>
      </w:r>
      <w:r>
        <w:rPr>
          <w:rFonts w:eastAsia="Lucida Sans Unicode"/>
          <w:color w:val="000000"/>
          <w:sz w:val="22"/>
          <w:lang w:eastAsia="en-US" w:bidi="en-US"/>
        </w:rPr>
        <w:t>«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Общие требования безопасности». </w:t>
      </w:r>
    </w:p>
    <w:p w:rsidR="008F2770" w:rsidRPr="00880DE8" w:rsidRDefault="008F2770" w:rsidP="008F2770">
      <w:pPr>
        <w:widowControl w:val="0"/>
        <w:suppressAutoHyphens/>
        <w:autoSpaceDN w:val="0"/>
        <w:ind w:right="1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Временная противокоррозионная защита протез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>На основании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утвержденными Постановлением Правительства РФ от 01.12.2009 № 982, протез</w:t>
      </w:r>
      <w:r>
        <w:rPr>
          <w:sz w:val="22"/>
        </w:rPr>
        <w:t xml:space="preserve"> </w:t>
      </w:r>
      <w:r w:rsidRPr="00880DE8">
        <w:rPr>
          <w:sz w:val="22"/>
        </w:rPr>
        <w:t>подлеж</w:t>
      </w:r>
      <w:r>
        <w:rPr>
          <w:sz w:val="22"/>
        </w:rPr>
        <w:t xml:space="preserve">ит </w:t>
      </w:r>
      <w:r w:rsidRPr="00880DE8">
        <w:rPr>
          <w:sz w:val="22"/>
        </w:rPr>
        <w:t>подтверждению соответствия в форме принятия декларации о соответствии.</w:t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>При готовности приступить к выполнению работ по изготовлению протез</w:t>
      </w:r>
      <w:r>
        <w:rPr>
          <w:sz w:val="22"/>
        </w:rPr>
        <w:t>а</w:t>
      </w:r>
      <w:r w:rsidRPr="00880DE8">
        <w:rPr>
          <w:sz w:val="22"/>
        </w:rPr>
        <w:t xml:space="preserve">, предоставление заказчику копий регистрационных удостоверений и документов, подтверждающих соответствие изделия (декларация о соответствии продукции либо сертификат соответствия), является </w:t>
      </w:r>
      <w:r w:rsidRPr="00880DE8">
        <w:rPr>
          <w:sz w:val="22"/>
        </w:rPr>
        <w:lastRenderedPageBreak/>
        <w:t>обязательным условием, в случае если законодательством Российской Федерации предусмотрено наличие таких документов при передаче изделия.</w:t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z w:val="22"/>
        </w:rPr>
      </w:pPr>
      <w:r w:rsidRPr="00880DE8">
        <w:rPr>
          <w:sz w:val="22"/>
        </w:rPr>
        <w:t>Протез</w:t>
      </w:r>
      <w:r>
        <w:rPr>
          <w:sz w:val="22"/>
        </w:rPr>
        <w:t xml:space="preserve"> </w:t>
      </w:r>
      <w:r w:rsidRPr="00880DE8">
        <w:rPr>
          <w:sz w:val="22"/>
        </w:rPr>
        <w:t>долж</w:t>
      </w:r>
      <w:r>
        <w:rPr>
          <w:sz w:val="22"/>
        </w:rPr>
        <w:t>е</w:t>
      </w:r>
      <w:r w:rsidRPr="00880DE8">
        <w:rPr>
          <w:sz w:val="22"/>
        </w:rPr>
        <w:t>н</w:t>
      </w:r>
      <w:r>
        <w:rPr>
          <w:sz w:val="22"/>
        </w:rPr>
        <w:t xml:space="preserve"> </w:t>
      </w:r>
      <w:r w:rsidRPr="00880DE8">
        <w:rPr>
          <w:sz w:val="22"/>
        </w:rPr>
        <w:t xml:space="preserve">изготавливаться с учетом анатомических дефектов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>Приемная гильза и крепление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 xml:space="preserve">Материалы приемной гильзы, контактирующих с телом человека, должны быть разрешены к применению </w:t>
      </w:r>
      <w:proofErr w:type="spellStart"/>
      <w:r w:rsidRPr="00880DE8">
        <w:rPr>
          <w:sz w:val="22"/>
        </w:rPr>
        <w:t>Минздравсоцразвитием</w:t>
      </w:r>
      <w:proofErr w:type="spellEnd"/>
      <w:r w:rsidRPr="00880DE8">
        <w:rPr>
          <w:sz w:val="22"/>
        </w:rPr>
        <w:t xml:space="preserve"> России.</w:t>
      </w:r>
      <w:r w:rsidRPr="00880DE8">
        <w:rPr>
          <w:sz w:val="22"/>
        </w:rPr>
        <w:tab/>
      </w:r>
    </w:p>
    <w:p w:rsidR="008F2770" w:rsidRPr="00880DE8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>Узлы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должны быть стойкими к воздействию физиологических растворов (пота, мочи). </w:t>
      </w:r>
    </w:p>
    <w:p w:rsidR="008F2770" w:rsidRDefault="008F2770" w:rsidP="008F2770">
      <w:pPr>
        <w:widowControl w:val="0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880DE8">
        <w:rPr>
          <w:sz w:val="22"/>
        </w:rPr>
        <w:t>Металлические части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должны быть изготовлены из коррозийно-стойких материалов или защищены от коррозии специальными покрытиями. </w:t>
      </w:r>
    </w:p>
    <w:p w:rsidR="008F2770" w:rsidRPr="00A67451" w:rsidRDefault="008F2770" w:rsidP="008F2770">
      <w:pPr>
        <w:widowControl w:val="0"/>
        <w:shd w:val="clear" w:color="auto" w:fill="FFFFFF"/>
        <w:tabs>
          <w:tab w:val="left" w:pos="7530"/>
        </w:tabs>
        <w:autoSpaceDE w:val="0"/>
        <w:autoSpaceDN w:val="0"/>
        <w:adjustRightInd w:val="0"/>
        <w:ind w:right="1" w:firstLine="709"/>
        <w:jc w:val="both"/>
        <w:rPr>
          <w:b/>
          <w:sz w:val="22"/>
        </w:rPr>
      </w:pPr>
      <w:r w:rsidRPr="00A67451">
        <w:rPr>
          <w:b/>
          <w:bCs/>
          <w:color w:val="000000"/>
          <w:sz w:val="22"/>
        </w:rPr>
        <w:t>Требования к результатам работ.</w:t>
      </w:r>
      <w:r w:rsidRPr="00A67451">
        <w:rPr>
          <w:b/>
          <w:bCs/>
          <w:color w:val="000000"/>
          <w:sz w:val="22"/>
        </w:rPr>
        <w:tab/>
      </w:r>
    </w:p>
    <w:p w:rsidR="008F2770" w:rsidRPr="00A67451" w:rsidRDefault="008F2770" w:rsidP="008F2770">
      <w:pPr>
        <w:widowControl w:val="0"/>
        <w:shd w:val="clear" w:color="auto" w:fill="FFFFFF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A67451">
        <w:rPr>
          <w:color w:val="000000"/>
          <w:sz w:val="22"/>
        </w:rPr>
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8F2770" w:rsidRPr="00A67451" w:rsidRDefault="008F2770" w:rsidP="008F2770">
      <w:pPr>
        <w:widowControl w:val="0"/>
        <w:shd w:val="clear" w:color="auto" w:fill="FFFFFF"/>
        <w:autoSpaceDE w:val="0"/>
        <w:autoSpaceDN w:val="0"/>
        <w:adjustRightInd w:val="0"/>
        <w:ind w:right="1" w:firstLine="709"/>
        <w:jc w:val="both"/>
        <w:rPr>
          <w:b/>
          <w:sz w:val="22"/>
        </w:rPr>
      </w:pPr>
      <w:r w:rsidRPr="00A67451">
        <w:rPr>
          <w:b/>
          <w:bCs/>
          <w:color w:val="000000"/>
          <w:sz w:val="22"/>
        </w:rPr>
        <w:t>Требования к размерам, упаковке и отгрузке товара.</w:t>
      </w:r>
    </w:p>
    <w:p w:rsidR="008F2770" w:rsidRPr="00A67451" w:rsidRDefault="008F2770" w:rsidP="008F2770">
      <w:pPr>
        <w:widowControl w:val="0"/>
        <w:shd w:val="clear" w:color="auto" w:fill="FFFFFF"/>
        <w:autoSpaceDE w:val="0"/>
        <w:autoSpaceDN w:val="0"/>
        <w:adjustRightInd w:val="0"/>
        <w:ind w:right="1" w:firstLine="709"/>
        <w:jc w:val="both"/>
        <w:rPr>
          <w:sz w:val="22"/>
        </w:rPr>
      </w:pPr>
      <w:r w:rsidRPr="00A67451">
        <w:rPr>
          <w:color w:val="000000"/>
          <w:sz w:val="22"/>
        </w:rPr>
        <w:t>При необходимости отправки протезно-ортопедического изделия к месту нахождения инвалида 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8F2770" w:rsidRPr="00A67451" w:rsidRDefault="008F2770" w:rsidP="008F2770">
      <w:pPr>
        <w:widowControl w:val="0"/>
        <w:suppressAutoHyphens/>
        <w:autoSpaceDN w:val="0"/>
        <w:ind w:right="1" w:firstLine="709"/>
        <w:jc w:val="both"/>
        <w:rPr>
          <w:color w:val="000000"/>
          <w:sz w:val="22"/>
        </w:rPr>
      </w:pPr>
      <w:r w:rsidRPr="00A67451">
        <w:rPr>
          <w:rFonts w:eastAsia="Lucida Sans Unicode"/>
          <w:b/>
          <w:bCs/>
          <w:color w:val="000000"/>
          <w:sz w:val="22"/>
          <w:lang w:eastAsia="en-US" w:bidi="en-US"/>
        </w:rPr>
        <w:t>Требования к срокам и (или) объему предоставления гарантии качества работ.</w:t>
      </w:r>
    </w:p>
    <w:p w:rsidR="008F2770" w:rsidRPr="00A67451" w:rsidRDefault="008F2770" w:rsidP="008F2770">
      <w:pPr>
        <w:shd w:val="clear" w:color="auto" w:fill="FFFFFF"/>
        <w:ind w:right="1" w:firstLine="709"/>
        <w:jc w:val="both"/>
        <w:rPr>
          <w:b/>
          <w:bCs/>
          <w:color w:val="000000"/>
          <w:sz w:val="22"/>
          <w:szCs w:val="22"/>
        </w:rPr>
      </w:pPr>
      <w:r w:rsidRPr="00A67451">
        <w:rPr>
          <w:color w:val="000000"/>
          <w:spacing w:val="4"/>
          <w:sz w:val="22"/>
          <w:szCs w:val="22"/>
        </w:rPr>
        <w:t xml:space="preserve">Гарантийный срок на протезно-ортопедическое изделие устанавливается со дня выдачи готового изделия в эксплуатацию </w:t>
      </w:r>
      <w:r w:rsidRPr="00A67451">
        <w:rPr>
          <w:color w:val="000000"/>
          <w:sz w:val="22"/>
          <w:szCs w:val="22"/>
        </w:rPr>
        <w:t xml:space="preserve">и должен </w:t>
      </w:r>
      <w:r w:rsidRPr="002D2756">
        <w:rPr>
          <w:color w:val="000000"/>
          <w:sz w:val="22"/>
          <w:szCs w:val="22"/>
        </w:rPr>
        <w:t xml:space="preserve">составлять </w:t>
      </w:r>
      <w:r w:rsidRPr="002D2756">
        <w:rPr>
          <w:b/>
          <w:bCs/>
          <w:color w:val="000000"/>
          <w:sz w:val="22"/>
          <w:szCs w:val="22"/>
        </w:rPr>
        <w:t>не менее 12 (двенадцати) месяцев.</w:t>
      </w:r>
    </w:p>
    <w:p w:rsidR="008F2770" w:rsidRDefault="008F2770" w:rsidP="008F2770">
      <w:pPr>
        <w:ind w:right="1" w:firstLine="709"/>
        <w:contextualSpacing/>
        <w:jc w:val="both"/>
        <w:rPr>
          <w:rFonts w:eastAsia="Lucida Sans Unicode"/>
          <w:kern w:val="2"/>
          <w:sz w:val="22"/>
        </w:rPr>
      </w:pPr>
      <w:r w:rsidRPr="00A67451">
        <w:rPr>
          <w:rFonts w:eastAsia="Lucida Sans Unicode"/>
          <w:kern w:val="2"/>
          <w:sz w:val="22"/>
        </w:rPr>
        <w:t>В течение этого срока предприятие-изготовитель обязано производить замену или ремонт Изделия бесплатно. Срок дополнительной гарантии</w:t>
      </w:r>
      <w:r w:rsidRPr="00BC3788">
        <w:rPr>
          <w:rFonts w:eastAsia="Lucida Sans Unicode"/>
          <w:kern w:val="2"/>
          <w:sz w:val="22"/>
        </w:rPr>
        <w:t xml:space="preserve"> качества изделия не должен превышать срока службы изделия.</w:t>
      </w:r>
    </w:p>
    <w:p w:rsidR="008F2770" w:rsidRPr="00A67451" w:rsidRDefault="008F2770" w:rsidP="008F2770">
      <w:pPr>
        <w:suppressAutoHyphens/>
        <w:ind w:right="1" w:firstLine="709"/>
        <w:jc w:val="both"/>
        <w:rPr>
          <w:b/>
          <w:i/>
          <w:color w:val="FF0000"/>
          <w:sz w:val="22"/>
          <w:szCs w:val="22"/>
        </w:rPr>
      </w:pPr>
      <w:r w:rsidRPr="00A045DB">
        <w:rPr>
          <w:b/>
          <w:sz w:val="22"/>
          <w:szCs w:val="22"/>
        </w:rPr>
        <w:t xml:space="preserve">Размер обеспечения гарантийных обязательств составляет 1% начальной (максимальной) цены контракта: </w:t>
      </w:r>
      <w:r w:rsidRPr="00453292">
        <w:rPr>
          <w:b/>
          <w:i/>
          <w:color w:val="FF0000"/>
          <w:sz w:val="22"/>
          <w:szCs w:val="22"/>
        </w:rPr>
        <w:t>17 670 (семнадцать тысяч шесть</w:t>
      </w:r>
      <w:r>
        <w:rPr>
          <w:b/>
          <w:i/>
          <w:color w:val="FF0000"/>
          <w:sz w:val="22"/>
          <w:szCs w:val="22"/>
        </w:rPr>
        <w:t>сот семьдесят) рублей 88 копеек</w:t>
      </w:r>
      <w:r w:rsidRPr="00A67451">
        <w:rPr>
          <w:b/>
          <w:i/>
          <w:color w:val="FF0000"/>
          <w:sz w:val="22"/>
          <w:szCs w:val="22"/>
        </w:rPr>
        <w:t>.</w:t>
      </w:r>
    </w:p>
    <w:p w:rsidR="008F2770" w:rsidRPr="00A045DB" w:rsidRDefault="008F2770" w:rsidP="008F2770">
      <w:pPr>
        <w:ind w:right="1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451">
        <w:rPr>
          <w:rFonts w:eastAsia="Calibri"/>
          <w:sz w:val="22"/>
          <w:szCs w:val="22"/>
          <w:lang w:eastAsia="en-US"/>
        </w:rPr>
        <w:t>Обеспечение гарантийных обязательств предоставляется Поставщиком в виде безот</w:t>
      </w:r>
      <w:r w:rsidRPr="00A045DB">
        <w:rPr>
          <w:rFonts w:eastAsia="Calibri"/>
          <w:sz w:val="22"/>
          <w:szCs w:val="22"/>
          <w:lang w:eastAsia="en-US"/>
        </w:rPr>
        <w:t xml:space="preserve">зывной банковской гарантии, выданной банком в соответствии со </w:t>
      </w:r>
      <w:hyperlink r:id="rId4" w:history="1">
        <w:r w:rsidRPr="00A045DB">
          <w:rPr>
            <w:rFonts w:eastAsia="Calibri"/>
            <w:sz w:val="22"/>
            <w:szCs w:val="22"/>
            <w:lang w:eastAsia="en-US"/>
          </w:rPr>
          <w:t>статьей 45</w:t>
        </w:r>
      </w:hyperlink>
      <w:r w:rsidRPr="00A045DB">
        <w:rPr>
          <w:rFonts w:eastAsia="Calibri"/>
          <w:sz w:val="22"/>
          <w:szCs w:val="22"/>
          <w:lang w:eastAsia="en-US"/>
        </w:rPr>
        <w:t xml:space="preserve"> Федерального закона N 44-ФЗ, или внесением денежных средств на указанный Заказчиком счет по следующим реквизитам: </w:t>
      </w:r>
    </w:p>
    <w:p w:rsidR="008F2770" w:rsidRPr="00616944" w:rsidRDefault="008F2770" w:rsidP="008F2770">
      <w:pPr>
        <w:ind w:right="1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45DB">
        <w:rPr>
          <w:rFonts w:eastAsia="Calibri"/>
          <w:i/>
          <w:sz w:val="22"/>
          <w:szCs w:val="22"/>
          <w:lang w:eastAsia="en-US"/>
        </w:rPr>
        <w:t>Фонд социального страхования Российской Федерации (Государственное учреждение - Магаданское региональное отделение Фонда социального страхования Российской Федерации л/с 05474010020), ИНН 4909039203, КПП 490901001. Корсчет (единый казначейский счет): 40102810945370000040. Расчетный счет (казначейский счет) №03252643000000074700, ОТДЕЛЕНИЕ МАГАДАН БАНКА РОССИИ//УФК по Магаданской области г. Магадан, БИК 014442501.</w:t>
      </w:r>
    </w:p>
    <w:p w:rsidR="008F2770" w:rsidRPr="00616944" w:rsidRDefault="008F2770" w:rsidP="008F2770">
      <w:pPr>
        <w:ind w:right="1"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16944">
        <w:rPr>
          <w:rFonts w:eastAsia="Calibri"/>
          <w:i/>
          <w:sz w:val="22"/>
          <w:szCs w:val="22"/>
          <w:lang w:eastAsia="en-US"/>
        </w:rPr>
        <w:t>Назначение платежа: обеспечение гарантийных обязательств по Государственному контракту №________от __. __________2021 года на___________ (указать предмет Государственного контракта).</w:t>
      </w:r>
    </w:p>
    <w:p w:rsidR="008F2770" w:rsidRPr="00616944" w:rsidRDefault="008F2770" w:rsidP="008F2770">
      <w:pPr>
        <w:ind w:right="1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16944">
        <w:rPr>
          <w:rFonts w:eastAsia="Calibri"/>
          <w:sz w:val="22"/>
          <w:szCs w:val="22"/>
          <w:lang w:eastAsia="en-US"/>
        </w:rPr>
        <w:t>Способ обеспечения исполнения гарантийных обязательств определяется Поставщиком самостоятельно.</w:t>
      </w:r>
    </w:p>
    <w:p w:rsidR="008F2770" w:rsidRDefault="008F2770" w:rsidP="008F2770">
      <w:pPr>
        <w:widowControl w:val="0"/>
        <w:autoSpaceDN w:val="0"/>
        <w:ind w:right="1" w:firstLine="709"/>
        <w:jc w:val="both"/>
        <w:rPr>
          <w:b/>
          <w:sz w:val="22"/>
          <w:szCs w:val="22"/>
        </w:rPr>
      </w:pPr>
      <w:r w:rsidRPr="00D61734">
        <w:rPr>
          <w:rFonts w:eastAsia="Lucida Sans Unicode"/>
          <w:b/>
          <w:color w:val="000000"/>
          <w:sz w:val="22"/>
          <w:lang w:eastAsia="en-US" w:bidi="en-US"/>
        </w:rPr>
        <w:t>Сроки выполняемых работ:</w:t>
      </w:r>
      <w:r>
        <w:rPr>
          <w:rFonts w:eastAsia="Lucida Sans Unicode"/>
          <w:b/>
          <w:color w:val="000000"/>
          <w:sz w:val="22"/>
          <w:lang w:eastAsia="en-US" w:bidi="en-US"/>
        </w:rPr>
        <w:t xml:space="preserve"> </w:t>
      </w:r>
      <w:r w:rsidRPr="001400B9">
        <w:rPr>
          <w:rFonts w:eastAsia="Lucida Sans Unicode"/>
          <w:color w:val="000000"/>
          <w:sz w:val="22"/>
          <w:lang w:eastAsia="en-US" w:bidi="en-US"/>
        </w:rPr>
        <w:t>Исполнитель выполняет работу и передает е</w:t>
      </w:r>
      <w:r>
        <w:rPr>
          <w:rFonts w:eastAsia="Lucida Sans Unicode"/>
          <w:color w:val="000000"/>
          <w:sz w:val="22"/>
          <w:lang w:eastAsia="en-US" w:bidi="en-US"/>
        </w:rPr>
        <w:t>е результат инвалиду в течение 3</w:t>
      </w:r>
      <w:r w:rsidRPr="001400B9">
        <w:rPr>
          <w:rFonts w:eastAsia="Lucida Sans Unicode"/>
          <w:color w:val="000000"/>
          <w:sz w:val="22"/>
          <w:lang w:eastAsia="en-US" w:bidi="en-US"/>
        </w:rPr>
        <w:t>0 дней с момента обращения Получателя с направлением на выполнение работ по изгото</w:t>
      </w:r>
      <w:r>
        <w:rPr>
          <w:rFonts w:eastAsia="Lucida Sans Unicode"/>
          <w:color w:val="000000"/>
          <w:sz w:val="22"/>
          <w:lang w:eastAsia="en-US" w:bidi="en-US"/>
        </w:rPr>
        <w:t xml:space="preserve">влению Изделия, но не 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позднее </w:t>
      </w:r>
      <w:r>
        <w:rPr>
          <w:rFonts w:eastAsia="Lucida Sans Unicode"/>
          <w:color w:val="000000"/>
          <w:sz w:val="22"/>
          <w:lang w:eastAsia="en-US" w:bidi="en-US"/>
        </w:rPr>
        <w:t xml:space="preserve">03 декабря </w:t>
      </w:r>
      <w:r w:rsidRPr="003F74FF">
        <w:rPr>
          <w:rFonts w:eastAsia="Lucida Sans Unicode"/>
          <w:color w:val="000000"/>
          <w:sz w:val="22"/>
          <w:lang w:eastAsia="en-US" w:bidi="en-US"/>
        </w:rPr>
        <w:t>202</w:t>
      </w:r>
      <w:r>
        <w:rPr>
          <w:rFonts w:eastAsia="Lucida Sans Unicode"/>
          <w:color w:val="000000"/>
          <w:sz w:val="22"/>
          <w:lang w:eastAsia="en-US" w:bidi="en-US"/>
        </w:rPr>
        <w:t>1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 года.</w:t>
      </w:r>
      <w:r w:rsidRPr="001400B9">
        <w:rPr>
          <w:rFonts w:eastAsia="Lucida Sans Unicode"/>
          <w:color w:val="000000"/>
          <w:sz w:val="22"/>
          <w:lang w:eastAsia="en-US" w:bidi="en-US"/>
        </w:rPr>
        <w:t xml:space="preserve"> </w:t>
      </w:r>
    </w:p>
    <w:p w:rsidR="00F31D2A" w:rsidRDefault="008F2770" w:rsidP="008F2770">
      <w:pPr>
        <w:ind w:firstLine="708"/>
        <w:jc w:val="both"/>
      </w:pPr>
      <w:r w:rsidRPr="00941DF4">
        <w:rPr>
          <w:rStyle w:val="T2"/>
          <w:rFonts w:eastAsia="Arial CYR"/>
          <w:b/>
          <w:iCs/>
          <w:color w:val="000000"/>
          <w:spacing w:val="-4"/>
          <w:sz w:val="22"/>
          <w:szCs w:val="22"/>
        </w:rPr>
        <w:t>Место выполнения работ:</w:t>
      </w:r>
      <w:r>
        <w:rPr>
          <w:rStyle w:val="T2"/>
          <w:rFonts w:eastAsia="Arial CYR"/>
          <w:iCs/>
          <w:color w:val="000000"/>
          <w:spacing w:val="-4"/>
          <w:sz w:val="22"/>
          <w:szCs w:val="22"/>
        </w:rPr>
        <w:t xml:space="preserve"> </w:t>
      </w:r>
      <w:r w:rsidRPr="00462A1E">
        <w:rPr>
          <w:rStyle w:val="T2"/>
          <w:rFonts w:eastAsia="Arial CYR"/>
          <w:iCs/>
          <w:color w:val="000000"/>
          <w:spacing w:val="-4"/>
          <w:sz w:val="22"/>
          <w:szCs w:val="22"/>
        </w:rPr>
        <w:t>Российская Федерация, Хабаровский край, по месту нахождения Исполнителя, в условиях стационара</w:t>
      </w:r>
      <w:r w:rsidRPr="00C635E1">
        <w:rPr>
          <w:rStyle w:val="T2"/>
          <w:rFonts w:eastAsia="Arial CYR"/>
          <w:iCs/>
          <w:color w:val="000000"/>
          <w:spacing w:val="-4"/>
          <w:sz w:val="22"/>
          <w:szCs w:val="22"/>
        </w:rPr>
        <w:t>.</w:t>
      </w:r>
    </w:p>
    <w:sectPr w:rsidR="00F3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70"/>
    <w:rsid w:val="008F2770"/>
    <w:rsid w:val="00F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3D76-7C55-4087-A1C8-3D1BC82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8F2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2">
    <w:name w:val="T2"/>
    <w:rsid w:val="008F277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36D2C41E04BB697ABC25A10810E46A4BA1F799F51B35074DF8584A33F759A9FB7D39EB6BA715D1A3DAB58BF7E0BA788350000ESCb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Сергей Анатольевич</dc:creator>
  <cp:keywords/>
  <dc:description/>
  <cp:lastModifiedBy>Грехов Сергей Анатольевич</cp:lastModifiedBy>
  <cp:revision>1</cp:revision>
  <dcterms:created xsi:type="dcterms:W3CDTF">2021-10-12T22:06:00Z</dcterms:created>
  <dcterms:modified xsi:type="dcterms:W3CDTF">2021-10-12T22:07:00Z</dcterms:modified>
</cp:coreProperties>
</file>