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42" w:rsidRDefault="00F64942" w:rsidP="00F64942">
      <w:pPr>
        <w:jc w:val="center"/>
        <w:rPr>
          <w:b/>
          <w:bCs/>
          <w:color w:val="000000"/>
          <w:sz w:val="22"/>
          <w:szCs w:val="22"/>
          <w:u w:val="single"/>
        </w:rPr>
      </w:pPr>
      <w:r w:rsidRPr="00405136">
        <w:rPr>
          <w:b/>
          <w:bCs/>
          <w:color w:val="000000"/>
          <w:sz w:val="22"/>
          <w:szCs w:val="22"/>
          <w:u w:val="single"/>
        </w:rPr>
        <w:t>ТЕХНИЧЕСКОЕ ЗАДАНИЕ</w:t>
      </w:r>
    </w:p>
    <w:p w:rsidR="00F64942" w:rsidRDefault="00F64942" w:rsidP="00F64942">
      <w:pPr>
        <w:jc w:val="center"/>
        <w:rPr>
          <w:b/>
          <w:bCs/>
          <w:color w:val="000000"/>
          <w:sz w:val="22"/>
          <w:szCs w:val="22"/>
          <w:u w:val="single"/>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4"/>
        <w:gridCol w:w="992"/>
        <w:gridCol w:w="1276"/>
      </w:tblGrid>
      <w:tr w:rsidR="00F64942" w:rsidRPr="000A5F87" w:rsidTr="00F64942">
        <w:trPr>
          <w:jc w:val="right"/>
        </w:trPr>
        <w:tc>
          <w:tcPr>
            <w:tcW w:w="1701" w:type="dxa"/>
          </w:tcPr>
          <w:p w:rsidR="00F64942" w:rsidRPr="000A5F87" w:rsidRDefault="00F64942" w:rsidP="006F5F1E">
            <w:pPr>
              <w:suppressAutoHyphens/>
              <w:snapToGrid w:val="0"/>
              <w:jc w:val="center"/>
              <w:rPr>
                <w:b/>
                <w:sz w:val="22"/>
                <w:szCs w:val="22"/>
                <w:lang w:eastAsia="ar-SA"/>
              </w:rPr>
            </w:pPr>
            <w:r w:rsidRPr="000A5F87">
              <w:rPr>
                <w:b/>
                <w:sz w:val="22"/>
                <w:szCs w:val="22"/>
                <w:lang w:eastAsia="ar-SA"/>
              </w:rPr>
              <w:t>Наименование</w:t>
            </w:r>
          </w:p>
        </w:tc>
        <w:tc>
          <w:tcPr>
            <w:tcW w:w="5954" w:type="dxa"/>
          </w:tcPr>
          <w:p w:rsidR="00F64942" w:rsidRPr="000A5F87" w:rsidRDefault="00F64942" w:rsidP="006F5F1E">
            <w:pPr>
              <w:suppressAutoHyphens/>
              <w:snapToGrid w:val="0"/>
              <w:jc w:val="center"/>
              <w:rPr>
                <w:b/>
                <w:sz w:val="22"/>
                <w:szCs w:val="22"/>
                <w:lang w:eastAsia="ar-SA"/>
              </w:rPr>
            </w:pPr>
            <w:r w:rsidRPr="000A5F87">
              <w:rPr>
                <w:b/>
                <w:sz w:val="22"/>
                <w:szCs w:val="22"/>
                <w:lang w:eastAsia="ar-SA"/>
              </w:rPr>
              <w:t>Описание функциональных, технических и качественных характеристик</w:t>
            </w:r>
          </w:p>
        </w:tc>
        <w:tc>
          <w:tcPr>
            <w:tcW w:w="992" w:type="dxa"/>
          </w:tcPr>
          <w:p w:rsidR="00F64942" w:rsidRPr="000A5F87" w:rsidRDefault="00F64942" w:rsidP="006F5F1E">
            <w:pPr>
              <w:tabs>
                <w:tab w:val="left" w:pos="203"/>
                <w:tab w:val="left" w:pos="776"/>
              </w:tabs>
              <w:suppressAutoHyphens/>
              <w:snapToGrid w:val="0"/>
              <w:jc w:val="center"/>
              <w:rPr>
                <w:sz w:val="22"/>
                <w:szCs w:val="22"/>
                <w:lang w:eastAsia="ar-SA"/>
              </w:rPr>
            </w:pPr>
            <w:r w:rsidRPr="000A5F87">
              <w:rPr>
                <w:rFonts w:eastAsia="Arial"/>
                <w:b/>
                <w:bCs/>
                <w:sz w:val="22"/>
                <w:szCs w:val="22"/>
                <w:lang w:eastAsia="ar-SA"/>
              </w:rPr>
              <w:t xml:space="preserve">Кол-во </w:t>
            </w:r>
          </w:p>
        </w:tc>
        <w:tc>
          <w:tcPr>
            <w:tcW w:w="1276" w:type="dxa"/>
          </w:tcPr>
          <w:p w:rsidR="00F64942" w:rsidRPr="000A5F87" w:rsidRDefault="00F64942" w:rsidP="006F5F1E">
            <w:pPr>
              <w:tabs>
                <w:tab w:val="left" w:pos="203"/>
                <w:tab w:val="left" w:pos="776"/>
              </w:tabs>
              <w:suppressAutoHyphens/>
              <w:snapToGrid w:val="0"/>
              <w:jc w:val="center"/>
              <w:rPr>
                <w:rFonts w:eastAsia="Arial"/>
                <w:b/>
                <w:bCs/>
                <w:sz w:val="22"/>
                <w:szCs w:val="22"/>
                <w:lang w:eastAsia="ar-SA"/>
              </w:rPr>
            </w:pPr>
            <w:r w:rsidRPr="000A5F87">
              <w:rPr>
                <w:rFonts w:eastAsia="Arial"/>
                <w:b/>
                <w:bCs/>
                <w:sz w:val="22"/>
                <w:szCs w:val="22"/>
                <w:lang w:eastAsia="ar-SA"/>
              </w:rPr>
              <w:t>Единица измерения</w:t>
            </w:r>
          </w:p>
        </w:tc>
      </w:tr>
      <w:tr w:rsidR="00F64942" w:rsidRPr="000A5F87" w:rsidTr="00F64942">
        <w:trPr>
          <w:jc w:val="right"/>
        </w:trPr>
        <w:tc>
          <w:tcPr>
            <w:tcW w:w="1701" w:type="dxa"/>
            <w:vAlign w:val="center"/>
          </w:tcPr>
          <w:p w:rsidR="00F64942" w:rsidRPr="001E3BFB" w:rsidRDefault="00F64942" w:rsidP="006F5F1E">
            <w:pPr>
              <w:jc w:val="center"/>
              <w:rPr>
                <w:sz w:val="22"/>
                <w:szCs w:val="22"/>
              </w:rPr>
            </w:pPr>
            <w:r w:rsidRPr="00CB71EF">
              <w:rPr>
                <w:sz w:val="22"/>
                <w:szCs w:val="22"/>
              </w:rPr>
              <w:t xml:space="preserve">Протез голени модульный, в том числе при недоразвитии </w:t>
            </w:r>
          </w:p>
        </w:tc>
        <w:tc>
          <w:tcPr>
            <w:tcW w:w="5954" w:type="dxa"/>
          </w:tcPr>
          <w:p w:rsidR="00F64942" w:rsidRPr="00CB71EF" w:rsidRDefault="00F64942" w:rsidP="006F5F1E">
            <w:pPr>
              <w:jc w:val="both"/>
              <w:rPr>
                <w:sz w:val="22"/>
                <w:szCs w:val="22"/>
              </w:rPr>
            </w:pPr>
            <w:r w:rsidRPr="00CB71EF">
              <w:rPr>
                <w:sz w:val="22"/>
                <w:szCs w:val="22"/>
              </w:rPr>
              <w:t xml:space="preserve">Протез голени модульный должен быть </w:t>
            </w:r>
            <w:r>
              <w:rPr>
                <w:sz w:val="22"/>
                <w:szCs w:val="22"/>
              </w:rPr>
              <w:t xml:space="preserve">повышенного уровня активности. Пробная приемная гильза должна быть изготовлена из термопласта по слепку с культи инвалида. Приемная гильза должна быть изготовлена из слоистого пластика на основе связующих смол по слепку с культи инвалида. Вкладная гильза должна быть из вспененного термопластичного материала. Стопа должна быть для пациентов среднего и повышенного уровня активности, с повышенным энергосбережением за счет встроенных упругих и эластичных элементов, обеспечивающих гармоничный и физиологический перекат во время ходьбы. Крепление протеза должно быть вакуумное с помощью вакуумного клапана и силиконового наколенника. Косметическая облицовка должна быть мягкая </w:t>
            </w:r>
            <w:proofErr w:type="spellStart"/>
            <w:r>
              <w:rPr>
                <w:sz w:val="22"/>
                <w:szCs w:val="22"/>
              </w:rPr>
              <w:t>полиуритановая</w:t>
            </w:r>
            <w:proofErr w:type="spellEnd"/>
            <w:r>
              <w:rPr>
                <w:sz w:val="22"/>
                <w:szCs w:val="22"/>
              </w:rPr>
              <w:t xml:space="preserve"> эластичная. Косметическая оболочка-чулки полиамидные ортопедические.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4942" w:rsidRPr="000A5F87" w:rsidRDefault="00F64942" w:rsidP="006F5F1E">
            <w:pPr>
              <w:autoSpaceDE w:val="0"/>
              <w:autoSpaceDN w:val="0"/>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4942" w:rsidRPr="000A5F87" w:rsidRDefault="00F64942" w:rsidP="006F5F1E">
            <w:pPr>
              <w:autoSpaceDE w:val="0"/>
              <w:autoSpaceDN w:val="0"/>
              <w:jc w:val="center"/>
              <w:rPr>
                <w:sz w:val="22"/>
                <w:szCs w:val="22"/>
              </w:rPr>
            </w:pPr>
            <w:r w:rsidRPr="000A5F87">
              <w:rPr>
                <w:sz w:val="22"/>
                <w:szCs w:val="22"/>
              </w:rPr>
              <w:t>штука</w:t>
            </w:r>
          </w:p>
        </w:tc>
      </w:tr>
      <w:tr w:rsidR="00F64942" w:rsidRPr="000A5F87" w:rsidTr="00F64942">
        <w:trPr>
          <w:jc w:val="right"/>
        </w:trPr>
        <w:tc>
          <w:tcPr>
            <w:tcW w:w="1701" w:type="dxa"/>
            <w:vAlign w:val="center"/>
          </w:tcPr>
          <w:p w:rsidR="00F64942" w:rsidRPr="00564A3D" w:rsidRDefault="00F64942" w:rsidP="006F5F1E">
            <w:pPr>
              <w:jc w:val="center"/>
              <w:rPr>
                <w:sz w:val="22"/>
                <w:szCs w:val="22"/>
              </w:rPr>
            </w:pPr>
            <w:r>
              <w:rPr>
                <w:sz w:val="22"/>
                <w:szCs w:val="22"/>
              </w:rPr>
              <w:t xml:space="preserve">Протез </w:t>
            </w:r>
            <w:r w:rsidRPr="00564A3D">
              <w:rPr>
                <w:sz w:val="22"/>
                <w:szCs w:val="22"/>
              </w:rPr>
              <w:t>бедра модульный</w:t>
            </w:r>
            <w:r>
              <w:rPr>
                <w:sz w:val="22"/>
                <w:szCs w:val="22"/>
              </w:rPr>
              <w:t>, в том числе при врожденном недоразвитии</w:t>
            </w:r>
            <w:r w:rsidRPr="00564A3D">
              <w:rPr>
                <w:sz w:val="22"/>
                <w:szCs w:val="22"/>
              </w:rPr>
              <w:t xml:space="preserve"> </w:t>
            </w:r>
          </w:p>
        </w:tc>
        <w:tc>
          <w:tcPr>
            <w:tcW w:w="5954" w:type="dxa"/>
          </w:tcPr>
          <w:p w:rsidR="00F64942" w:rsidRPr="00564A3D" w:rsidRDefault="00F64942" w:rsidP="006F5F1E">
            <w:pPr>
              <w:jc w:val="both"/>
              <w:rPr>
                <w:sz w:val="22"/>
                <w:szCs w:val="22"/>
              </w:rPr>
            </w:pPr>
            <w:r>
              <w:rPr>
                <w:sz w:val="22"/>
                <w:szCs w:val="22"/>
              </w:rPr>
              <w:t>Протез бедра модульный, в том числе при врожденном недоразвитии должен быть для пациентов среднего уровня активности. Пробная гильза должна быть из термопласта, изготовленная по слепку культи. Приемная гильза должна быть из слоистого пластика на основе связующих смол по слепку. Стопа должна быть для пациентов среднего и повышенного уровня активности с карбоновой пружиной в комбинации с упругим основанием из вспененного материала, обеспечивающая высокую стабильность, хороший возврат энергии и мягкий перекат. Коленный модуль должен быть для пациентов среднего и повышенного уровня активности одноосный с пневматическим управлением фазой переноса, с тормозным механизмом. Крепление протеза должно осуществляться с помощью замкового устройства для полимерных чехлов. Чехол должен быть из полимерных материалов (силиконовый). Косметическая облицовка протеза должна быть мягкой из вспененного полиуретана. Косметическая оболочка-чулки полиамидные ортопедические.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4942" w:rsidRPr="00564A3D" w:rsidRDefault="00F64942" w:rsidP="006F5F1E">
            <w:pPr>
              <w:autoSpaceDE w:val="0"/>
              <w:autoSpaceDN w:val="0"/>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4942" w:rsidRPr="00564A3D" w:rsidRDefault="00F64942" w:rsidP="006F5F1E">
            <w:pPr>
              <w:autoSpaceDE w:val="0"/>
              <w:autoSpaceDN w:val="0"/>
              <w:jc w:val="center"/>
              <w:rPr>
                <w:sz w:val="22"/>
                <w:szCs w:val="22"/>
              </w:rPr>
            </w:pPr>
            <w:r>
              <w:rPr>
                <w:sz w:val="22"/>
                <w:szCs w:val="22"/>
              </w:rPr>
              <w:t>штука</w:t>
            </w:r>
          </w:p>
        </w:tc>
      </w:tr>
      <w:tr w:rsidR="00F64942" w:rsidRPr="000A5F87" w:rsidTr="00F64942">
        <w:trPr>
          <w:jc w:val="right"/>
        </w:trPr>
        <w:tc>
          <w:tcPr>
            <w:tcW w:w="1701" w:type="dxa"/>
            <w:vAlign w:val="center"/>
          </w:tcPr>
          <w:p w:rsidR="00F64942" w:rsidRPr="001E3BFB" w:rsidRDefault="00F64942" w:rsidP="006F5F1E">
            <w:pPr>
              <w:jc w:val="center"/>
              <w:rPr>
                <w:sz w:val="22"/>
                <w:szCs w:val="22"/>
              </w:rPr>
            </w:pPr>
            <w:r w:rsidRPr="00564A3D">
              <w:rPr>
                <w:sz w:val="22"/>
                <w:szCs w:val="22"/>
              </w:rPr>
              <w:t xml:space="preserve">Протез при вычленении бедра модульный </w:t>
            </w:r>
          </w:p>
        </w:tc>
        <w:tc>
          <w:tcPr>
            <w:tcW w:w="5954" w:type="dxa"/>
          </w:tcPr>
          <w:p w:rsidR="00F64942" w:rsidRPr="00564A3D" w:rsidRDefault="00F64942" w:rsidP="006F5F1E">
            <w:pPr>
              <w:jc w:val="both"/>
              <w:rPr>
                <w:sz w:val="22"/>
                <w:szCs w:val="22"/>
              </w:rPr>
            </w:pPr>
            <w:r w:rsidRPr="00564A3D">
              <w:rPr>
                <w:sz w:val="22"/>
                <w:szCs w:val="22"/>
              </w:rPr>
              <w:t xml:space="preserve">В протезе при вычленении бедра модульного приемная корзина должна изготовляться по индивидуальному гипсовому слепку из слоистого пластика. Коленный шарнир должен быть одноосный с тормозным механизмом, который срабатывает при нагрузке на пятку и способствует высокой устойчивости в фазе опоры. Для управления фазой переноса должен служить встроенный механический толкатель с комбинацией пружин. Тазобедренный шарнир должен быть модульный одноосный с фиксатором. Вмонтированный фиксатор должен блокировать шарнир в разогнутом положении. Стопа должна быть </w:t>
            </w:r>
            <w:proofErr w:type="spellStart"/>
            <w:r w:rsidRPr="00564A3D">
              <w:rPr>
                <w:sz w:val="22"/>
                <w:szCs w:val="22"/>
              </w:rPr>
              <w:t>углепластиковая</w:t>
            </w:r>
            <w:proofErr w:type="spellEnd"/>
            <w:r w:rsidRPr="00564A3D">
              <w:rPr>
                <w:sz w:val="22"/>
                <w:szCs w:val="22"/>
              </w:rPr>
              <w:t xml:space="preserve"> с раздвоенной передней частью, обеспечивать высокую стабильность и возврат энергии. Косметическая облицовка протеза должна быть мягкая из вспененного </w:t>
            </w:r>
            <w:proofErr w:type="spellStart"/>
            <w:r w:rsidRPr="00564A3D">
              <w:rPr>
                <w:sz w:val="22"/>
                <w:szCs w:val="22"/>
              </w:rPr>
              <w:t>полиуритана</w:t>
            </w:r>
            <w:proofErr w:type="spellEnd"/>
            <w:r w:rsidRPr="00564A3D">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4942" w:rsidRPr="00564A3D" w:rsidRDefault="00F64942" w:rsidP="006F5F1E">
            <w:pPr>
              <w:autoSpaceDE w:val="0"/>
              <w:autoSpaceDN w:val="0"/>
              <w:jc w:val="center"/>
              <w:rPr>
                <w:sz w:val="22"/>
                <w:szCs w:val="22"/>
              </w:rPr>
            </w:pPr>
            <w:r w:rsidRPr="00564A3D">
              <w:rPr>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4942" w:rsidRPr="00564A3D" w:rsidRDefault="00F64942" w:rsidP="006F5F1E">
            <w:pPr>
              <w:autoSpaceDE w:val="0"/>
              <w:autoSpaceDN w:val="0"/>
              <w:jc w:val="center"/>
              <w:rPr>
                <w:sz w:val="22"/>
                <w:szCs w:val="22"/>
              </w:rPr>
            </w:pPr>
            <w:r w:rsidRPr="00564A3D">
              <w:rPr>
                <w:sz w:val="22"/>
                <w:szCs w:val="22"/>
              </w:rPr>
              <w:t>штука</w:t>
            </w:r>
          </w:p>
        </w:tc>
      </w:tr>
    </w:tbl>
    <w:p w:rsidR="00F64942" w:rsidRPr="00880DE8" w:rsidRDefault="00F64942" w:rsidP="00F64942">
      <w:pPr>
        <w:widowControl w:val="0"/>
        <w:suppressAutoHyphens/>
        <w:autoSpaceDN w:val="0"/>
        <w:ind w:left="-567" w:right="1" w:firstLine="709"/>
        <w:jc w:val="both"/>
        <w:rPr>
          <w:rFonts w:eastAsia="Lucida Sans Unicode"/>
          <w:color w:val="000000"/>
          <w:sz w:val="22"/>
          <w:lang w:eastAsia="en-US" w:bidi="en-US"/>
        </w:rPr>
      </w:pPr>
      <w:r w:rsidRPr="00880DE8">
        <w:rPr>
          <w:rFonts w:eastAsia="Lucida Sans Unicode"/>
          <w:color w:val="000000"/>
          <w:sz w:val="22"/>
          <w:lang w:eastAsia="en-US" w:bidi="en-US"/>
        </w:rPr>
        <w:t xml:space="preserve">Выполнение работ по протезированию направлено на изготовление технических устройств, к которым относятся протезы нижних конечностей для обеспечения механической фиксации, разгрузки, компенсации поврежденных, реконструированных суставов, костей, </w:t>
      </w:r>
      <w:proofErr w:type="spellStart"/>
      <w:r w:rsidRPr="00880DE8">
        <w:rPr>
          <w:rFonts w:eastAsia="Lucida Sans Unicode"/>
          <w:color w:val="000000"/>
          <w:sz w:val="22"/>
          <w:lang w:eastAsia="en-US" w:bidi="en-US"/>
        </w:rPr>
        <w:t>сумочно</w:t>
      </w:r>
      <w:proofErr w:type="spellEnd"/>
      <w:r w:rsidRPr="00880DE8">
        <w:rPr>
          <w:rFonts w:eastAsia="Lucida Sans Unicode"/>
          <w:color w:val="000000"/>
          <w:sz w:val="22"/>
          <w:lang w:eastAsia="en-US" w:bidi="en-US"/>
        </w:rPr>
        <w:t>-связочного, мышечно-связочного аппарата и других функций организма.</w:t>
      </w:r>
    </w:p>
    <w:p w:rsidR="00F64942" w:rsidRPr="00880DE8" w:rsidRDefault="00F64942" w:rsidP="00F64942">
      <w:pPr>
        <w:widowControl w:val="0"/>
        <w:suppressAutoHyphens/>
        <w:autoSpaceDN w:val="0"/>
        <w:ind w:left="-567" w:right="1" w:firstLine="709"/>
        <w:jc w:val="both"/>
        <w:rPr>
          <w:rFonts w:eastAsia="Lucida Sans Unicode"/>
          <w:color w:val="000000"/>
          <w:sz w:val="22"/>
          <w:lang w:eastAsia="en-US" w:bidi="en-US"/>
        </w:rPr>
      </w:pPr>
      <w:r w:rsidRPr="00880DE8">
        <w:rPr>
          <w:rFonts w:eastAsia="Lucida Sans Unicode"/>
          <w:color w:val="000000"/>
          <w:sz w:val="22"/>
          <w:lang w:eastAsia="en-US" w:bidi="en-US"/>
        </w:rPr>
        <w:lastRenderedPageBreak/>
        <w:t>Выполнение работ должно включать комплекс медицинских, технических и социальных мероприятий, проводимых с инвалид</w:t>
      </w:r>
      <w:r>
        <w:rPr>
          <w:rFonts w:eastAsia="Lucida Sans Unicode"/>
          <w:color w:val="000000"/>
          <w:sz w:val="22"/>
          <w:lang w:eastAsia="en-US" w:bidi="en-US"/>
        </w:rPr>
        <w:t>ом</w:t>
      </w:r>
      <w:r w:rsidRPr="00880DE8">
        <w:rPr>
          <w:rFonts w:eastAsia="Lucida Sans Unicode"/>
          <w:color w:val="000000"/>
          <w:sz w:val="22"/>
          <w:lang w:eastAsia="en-US" w:bidi="en-US"/>
        </w:rPr>
        <w:t>, имеющим</w:t>
      </w:r>
      <w:r>
        <w:rPr>
          <w:rFonts w:eastAsia="Lucida Sans Unicode"/>
          <w:color w:val="000000"/>
          <w:sz w:val="22"/>
          <w:lang w:eastAsia="en-US" w:bidi="en-US"/>
        </w:rPr>
        <w:t xml:space="preserve"> </w:t>
      </w:r>
      <w:r w:rsidRPr="00880DE8">
        <w:rPr>
          <w:rFonts w:eastAsia="Lucida Sans Unicode"/>
          <w:color w:val="000000"/>
          <w:sz w:val="22"/>
          <w:lang w:eastAsia="en-US" w:bidi="en-US"/>
        </w:rPr>
        <w:t xml:space="preserve">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обеспечивает лечение, восстановление, и компенсацию утраченных функций организма и неустранимых анатомических дефектов и деформаций. </w:t>
      </w:r>
    </w:p>
    <w:p w:rsidR="00F64942" w:rsidRPr="00880DE8" w:rsidRDefault="00F64942" w:rsidP="00F64942">
      <w:pPr>
        <w:widowControl w:val="0"/>
        <w:ind w:left="-567" w:right="1" w:firstLine="709"/>
        <w:contextualSpacing/>
        <w:jc w:val="both"/>
        <w:rPr>
          <w:rFonts w:eastAsia="Lucida Sans Unicode"/>
          <w:kern w:val="1"/>
          <w:sz w:val="22"/>
          <w:lang w:eastAsia="en-US"/>
        </w:rPr>
      </w:pPr>
      <w:r w:rsidRPr="00880DE8">
        <w:rPr>
          <w:rFonts w:eastAsia="Lucida Sans Unicode"/>
          <w:kern w:val="1"/>
          <w:sz w:val="22"/>
          <w:lang w:eastAsia="en-US"/>
        </w:rPr>
        <w:t>Издели</w:t>
      </w:r>
      <w:r>
        <w:rPr>
          <w:rFonts w:eastAsia="Lucida Sans Unicode"/>
          <w:kern w:val="1"/>
          <w:sz w:val="22"/>
          <w:lang w:eastAsia="en-US"/>
        </w:rPr>
        <w:t xml:space="preserve">е </w:t>
      </w:r>
      <w:r w:rsidRPr="00880DE8">
        <w:rPr>
          <w:rFonts w:eastAsia="Lucida Sans Unicode"/>
          <w:kern w:val="1"/>
          <w:sz w:val="22"/>
          <w:lang w:eastAsia="en-US"/>
        </w:rPr>
        <w:t>должн</w:t>
      </w:r>
      <w:r>
        <w:rPr>
          <w:rFonts w:eastAsia="Lucida Sans Unicode"/>
          <w:kern w:val="1"/>
          <w:sz w:val="22"/>
          <w:lang w:eastAsia="en-US"/>
        </w:rPr>
        <w:t xml:space="preserve">о </w:t>
      </w:r>
      <w:r w:rsidRPr="00880DE8">
        <w:rPr>
          <w:rFonts w:eastAsia="Lucida Sans Unicode"/>
          <w:kern w:val="1"/>
          <w:sz w:val="22"/>
          <w:lang w:eastAsia="en-US"/>
        </w:rPr>
        <w:t>отвечать требованиям:</w:t>
      </w:r>
    </w:p>
    <w:p w:rsidR="00F64942" w:rsidRPr="00880DE8" w:rsidRDefault="00F64942" w:rsidP="00F64942">
      <w:pPr>
        <w:widowControl w:val="0"/>
        <w:ind w:left="-567" w:right="1" w:firstLine="709"/>
        <w:contextualSpacing/>
        <w:jc w:val="both"/>
        <w:rPr>
          <w:rFonts w:eastAsia="Lucida Sans Unicode"/>
          <w:kern w:val="1"/>
          <w:sz w:val="22"/>
          <w:lang w:eastAsia="en-US"/>
        </w:rPr>
      </w:pPr>
      <w:r w:rsidRPr="00880DE8">
        <w:rPr>
          <w:rFonts w:eastAsia="Lucida Sans Unicode"/>
          <w:kern w:val="1"/>
          <w:sz w:val="22"/>
          <w:lang w:eastAsia="en-US"/>
        </w:rPr>
        <w:t xml:space="preserve">-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880DE8">
        <w:rPr>
          <w:rFonts w:eastAsia="Lucida Sans Unicode"/>
          <w:kern w:val="1"/>
          <w:sz w:val="22"/>
          <w:lang w:eastAsia="en-US"/>
        </w:rPr>
        <w:t>ортезы</w:t>
      </w:r>
      <w:proofErr w:type="spellEnd"/>
      <w:r w:rsidRPr="00880DE8">
        <w:rPr>
          <w:rFonts w:eastAsia="Lucida Sans Unicode"/>
          <w:kern w:val="1"/>
          <w:sz w:val="22"/>
          <w:lang w:eastAsia="en-US"/>
        </w:rPr>
        <w:t xml:space="preserve"> наружные. Требования и методы испытаний»;</w:t>
      </w:r>
    </w:p>
    <w:p w:rsidR="00F64942" w:rsidRPr="00880DE8" w:rsidRDefault="00F64942" w:rsidP="00F64942">
      <w:pPr>
        <w:widowControl w:val="0"/>
        <w:ind w:left="-567" w:right="1" w:firstLine="709"/>
        <w:contextualSpacing/>
        <w:jc w:val="both"/>
        <w:rPr>
          <w:rFonts w:eastAsia="Lucida Sans Unicode"/>
          <w:kern w:val="1"/>
          <w:sz w:val="22"/>
          <w:lang w:eastAsia="en-US"/>
        </w:rPr>
      </w:pPr>
      <w:r w:rsidRPr="00880DE8">
        <w:rPr>
          <w:rFonts w:eastAsia="Lucida Sans Unicode"/>
          <w:kern w:val="1"/>
          <w:sz w:val="22"/>
          <w:lang w:eastAsia="en-US"/>
        </w:rPr>
        <w:t xml:space="preserve">- Межгосударственных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80DE8">
        <w:rPr>
          <w:rFonts w:eastAsia="Lucida Sans Unicode"/>
          <w:kern w:val="1"/>
          <w:sz w:val="22"/>
          <w:lang w:eastAsia="en-US"/>
        </w:rPr>
        <w:t>цитотоксичность</w:t>
      </w:r>
      <w:proofErr w:type="spellEnd"/>
      <w:r w:rsidRPr="00880DE8">
        <w:rPr>
          <w:rFonts w:eastAsia="Lucida Sans Unicode"/>
          <w:kern w:val="1"/>
          <w:sz w:val="22"/>
          <w:lang w:eastAsia="en-US"/>
        </w:rPr>
        <w:t xml:space="preserve">: методы </w:t>
      </w:r>
      <w:r w:rsidRPr="00880DE8">
        <w:rPr>
          <w:rFonts w:eastAsia="Lucida Sans Unicode"/>
          <w:kern w:val="1"/>
          <w:sz w:val="22"/>
          <w:lang w:val="en-US" w:eastAsia="en-US"/>
        </w:rPr>
        <w:t>in</w:t>
      </w:r>
      <w:r w:rsidRPr="00880DE8">
        <w:rPr>
          <w:rFonts w:eastAsia="Lucida Sans Unicode"/>
          <w:kern w:val="1"/>
          <w:sz w:val="22"/>
          <w:lang w:eastAsia="en-US"/>
        </w:rPr>
        <w:t xml:space="preserve"> </w:t>
      </w:r>
      <w:r w:rsidRPr="00880DE8">
        <w:rPr>
          <w:rFonts w:eastAsia="Lucida Sans Unicode"/>
          <w:kern w:val="1"/>
          <w:sz w:val="22"/>
          <w:lang w:val="en-US" w:eastAsia="en-US"/>
        </w:rPr>
        <w:t>vitro</w:t>
      </w:r>
      <w:r w:rsidRPr="00880DE8">
        <w:rPr>
          <w:rFonts w:eastAsia="Lucida Sans Unicode"/>
          <w:kern w:val="1"/>
          <w:sz w:val="22"/>
          <w:lang w:eastAsia="en-U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F64942" w:rsidRDefault="00F64942" w:rsidP="00F64942">
      <w:pPr>
        <w:widowControl w:val="0"/>
        <w:suppressAutoHyphens/>
        <w:autoSpaceDN w:val="0"/>
        <w:ind w:left="-567" w:right="1" w:firstLine="709"/>
        <w:jc w:val="both"/>
        <w:rPr>
          <w:rFonts w:eastAsia="Lucida Sans Unicode"/>
          <w:color w:val="000000"/>
          <w:sz w:val="22"/>
          <w:lang w:eastAsia="en-US" w:bidi="en-US"/>
        </w:rPr>
      </w:pPr>
      <w:r w:rsidRPr="00880DE8">
        <w:rPr>
          <w:rFonts w:eastAsia="Lucida Sans Unicode"/>
          <w:color w:val="000000"/>
          <w:sz w:val="22"/>
          <w:lang w:eastAsia="en-US" w:bidi="en-US"/>
        </w:rPr>
        <w:t>Маркировка, упаковка, хранение и транспортировка протез</w:t>
      </w:r>
      <w:r>
        <w:rPr>
          <w:rFonts w:eastAsia="Lucida Sans Unicode"/>
          <w:color w:val="000000"/>
          <w:sz w:val="22"/>
          <w:lang w:eastAsia="en-US" w:bidi="en-US"/>
        </w:rPr>
        <w:t xml:space="preserve">а </w:t>
      </w:r>
      <w:r w:rsidRPr="00880DE8">
        <w:rPr>
          <w:rFonts w:eastAsia="Lucida Sans Unicode"/>
          <w:color w:val="000000"/>
          <w:sz w:val="22"/>
          <w:lang w:eastAsia="en-US" w:bidi="en-US"/>
        </w:rPr>
        <w:t>к месту нахождения инвалид</w:t>
      </w:r>
      <w:r>
        <w:rPr>
          <w:rFonts w:eastAsia="Lucida Sans Unicode"/>
          <w:color w:val="000000"/>
          <w:sz w:val="22"/>
          <w:lang w:eastAsia="en-US" w:bidi="en-US"/>
        </w:rPr>
        <w:t xml:space="preserve">а </w:t>
      </w:r>
      <w:r w:rsidRPr="00880DE8">
        <w:rPr>
          <w:rFonts w:eastAsia="Lucida Sans Unicode"/>
          <w:color w:val="000000"/>
          <w:sz w:val="22"/>
          <w:lang w:eastAsia="en-US" w:bidi="en-US"/>
        </w:rPr>
        <w:t>должна осуществляться с соблю</w:t>
      </w:r>
      <w:r>
        <w:rPr>
          <w:rFonts w:eastAsia="Lucida Sans Unicode"/>
          <w:color w:val="000000"/>
          <w:sz w:val="22"/>
          <w:lang w:eastAsia="en-US" w:bidi="en-US"/>
        </w:rPr>
        <w:t>дением требований ГОСТ 20790-93</w:t>
      </w:r>
      <w:r w:rsidRPr="00880DE8">
        <w:rPr>
          <w:rFonts w:eastAsia="Lucida Sans Unicode"/>
          <w:color w:val="000000"/>
          <w:sz w:val="22"/>
          <w:lang w:eastAsia="en-US" w:bidi="en-US"/>
        </w:rPr>
        <w:t xml:space="preserve"> </w:t>
      </w:r>
      <w:r>
        <w:rPr>
          <w:rFonts w:eastAsia="Lucida Sans Unicode"/>
          <w:color w:val="000000"/>
          <w:sz w:val="22"/>
          <w:lang w:eastAsia="en-US" w:bidi="en-US"/>
        </w:rPr>
        <w:t>«</w:t>
      </w:r>
      <w:r w:rsidRPr="00880DE8">
        <w:rPr>
          <w:rFonts w:eastAsia="Lucida Sans Unicode"/>
          <w:color w:val="000000"/>
          <w:sz w:val="22"/>
          <w:lang w:eastAsia="en-US" w:bidi="en-US"/>
        </w:rPr>
        <w:t xml:space="preserve">Общие требования безопасности». </w:t>
      </w:r>
    </w:p>
    <w:p w:rsidR="00F64942" w:rsidRPr="00880DE8" w:rsidRDefault="00F64942" w:rsidP="00F64942">
      <w:pPr>
        <w:widowControl w:val="0"/>
        <w:suppressAutoHyphens/>
        <w:autoSpaceDN w:val="0"/>
        <w:ind w:left="-567" w:right="1" w:firstLine="709"/>
        <w:jc w:val="both"/>
        <w:rPr>
          <w:rFonts w:eastAsia="Lucida Sans Unicode"/>
          <w:color w:val="000000"/>
          <w:sz w:val="22"/>
          <w:lang w:eastAsia="en-US" w:bidi="en-US"/>
        </w:rPr>
      </w:pPr>
      <w:r w:rsidRPr="00880DE8">
        <w:rPr>
          <w:rFonts w:eastAsia="Lucida Sans Unicode"/>
          <w:color w:val="000000"/>
          <w:sz w:val="22"/>
          <w:lang w:eastAsia="en-US" w:bidi="en-US"/>
        </w:rPr>
        <w:t>Временная противокоррозионная защита протез</w:t>
      </w:r>
      <w:r>
        <w:rPr>
          <w:rFonts w:eastAsia="Lucida Sans Unicode"/>
          <w:color w:val="000000"/>
          <w:sz w:val="22"/>
          <w:lang w:eastAsia="en-US" w:bidi="en-US"/>
        </w:rPr>
        <w:t xml:space="preserve">а </w:t>
      </w:r>
      <w:r w:rsidRPr="00880DE8">
        <w:rPr>
          <w:rFonts w:eastAsia="Lucida Sans Unicode"/>
          <w:color w:val="000000"/>
          <w:sz w:val="22"/>
          <w:lang w:eastAsia="en-US" w:bidi="en-US"/>
        </w:rPr>
        <w:t>должна производиться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w:t>
      </w:r>
    </w:p>
    <w:p w:rsidR="00F64942" w:rsidRPr="00880DE8" w:rsidRDefault="00F64942" w:rsidP="00F64942">
      <w:pPr>
        <w:widowControl w:val="0"/>
        <w:autoSpaceDE w:val="0"/>
        <w:autoSpaceDN w:val="0"/>
        <w:adjustRightInd w:val="0"/>
        <w:ind w:left="-567" w:right="1" w:firstLine="709"/>
        <w:jc w:val="both"/>
        <w:rPr>
          <w:sz w:val="22"/>
        </w:rPr>
      </w:pPr>
      <w:r w:rsidRPr="00880DE8">
        <w:rPr>
          <w:sz w:val="22"/>
        </w:rPr>
        <w:t>На основании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утвержденными Постановлением Правительства РФ от 01.12.2009 № 982, протез</w:t>
      </w:r>
      <w:r>
        <w:rPr>
          <w:sz w:val="22"/>
        </w:rPr>
        <w:t xml:space="preserve"> </w:t>
      </w:r>
      <w:r w:rsidRPr="00880DE8">
        <w:rPr>
          <w:sz w:val="22"/>
        </w:rPr>
        <w:t>подлеж</w:t>
      </w:r>
      <w:r>
        <w:rPr>
          <w:sz w:val="22"/>
        </w:rPr>
        <w:t xml:space="preserve">ит </w:t>
      </w:r>
      <w:r w:rsidRPr="00880DE8">
        <w:rPr>
          <w:sz w:val="22"/>
        </w:rPr>
        <w:t>подтверждению соответствия в форме принятия декларации о соответствии.</w:t>
      </w:r>
    </w:p>
    <w:p w:rsidR="00F64942" w:rsidRPr="00880DE8" w:rsidRDefault="00F64942" w:rsidP="00F64942">
      <w:pPr>
        <w:widowControl w:val="0"/>
        <w:autoSpaceDE w:val="0"/>
        <w:autoSpaceDN w:val="0"/>
        <w:adjustRightInd w:val="0"/>
        <w:ind w:left="-567" w:right="1" w:firstLine="709"/>
        <w:jc w:val="both"/>
        <w:rPr>
          <w:sz w:val="22"/>
        </w:rPr>
      </w:pPr>
      <w:r w:rsidRPr="00880DE8">
        <w:rPr>
          <w:sz w:val="22"/>
        </w:rPr>
        <w:t>При готовности приступить к выполнению работ по изготовлению протез</w:t>
      </w:r>
      <w:r>
        <w:rPr>
          <w:sz w:val="22"/>
        </w:rPr>
        <w:t>а</w:t>
      </w:r>
      <w:r w:rsidRPr="00880DE8">
        <w:rPr>
          <w:sz w:val="22"/>
        </w:rPr>
        <w:t>, предоставление заказчику копий регистрационных удостоверений и документов, подтверждающих соответствие изделия (декларация о соответствии продукции либо сертификат соответствия), является обязательным условием, в случае если законодательством Российской Федерации предусмотрено наличие таких документов при передаче изделия.</w:t>
      </w:r>
    </w:p>
    <w:p w:rsidR="00F64942" w:rsidRPr="00880DE8" w:rsidRDefault="00F64942" w:rsidP="00F64942">
      <w:pPr>
        <w:widowControl w:val="0"/>
        <w:autoSpaceDE w:val="0"/>
        <w:autoSpaceDN w:val="0"/>
        <w:adjustRightInd w:val="0"/>
        <w:ind w:left="-567" w:right="1" w:firstLine="709"/>
        <w:jc w:val="both"/>
        <w:rPr>
          <w:color w:val="000000"/>
          <w:sz w:val="22"/>
        </w:rPr>
      </w:pPr>
      <w:r w:rsidRPr="00880DE8">
        <w:rPr>
          <w:sz w:val="22"/>
        </w:rPr>
        <w:t>Протез</w:t>
      </w:r>
      <w:r>
        <w:rPr>
          <w:sz w:val="22"/>
        </w:rPr>
        <w:t xml:space="preserve"> </w:t>
      </w:r>
      <w:r w:rsidRPr="00880DE8">
        <w:rPr>
          <w:sz w:val="22"/>
        </w:rPr>
        <w:t>долж</w:t>
      </w:r>
      <w:r>
        <w:rPr>
          <w:sz w:val="22"/>
        </w:rPr>
        <w:t>е</w:t>
      </w:r>
      <w:r w:rsidRPr="00880DE8">
        <w:rPr>
          <w:sz w:val="22"/>
        </w:rPr>
        <w:t>н</w:t>
      </w:r>
      <w:r>
        <w:rPr>
          <w:sz w:val="22"/>
        </w:rPr>
        <w:t xml:space="preserve"> </w:t>
      </w:r>
      <w:r w:rsidRPr="00880DE8">
        <w:rPr>
          <w:sz w:val="22"/>
        </w:rPr>
        <w:t xml:space="preserve">изготавливаться с учетом анатомических дефектов конечности,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64942" w:rsidRPr="00880DE8" w:rsidRDefault="00F64942" w:rsidP="00F64942">
      <w:pPr>
        <w:widowControl w:val="0"/>
        <w:autoSpaceDE w:val="0"/>
        <w:autoSpaceDN w:val="0"/>
        <w:adjustRightInd w:val="0"/>
        <w:ind w:left="-567" w:right="1" w:firstLine="709"/>
        <w:jc w:val="both"/>
        <w:rPr>
          <w:sz w:val="22"/>
        </w:rPr>
      </w:pPr>
      <w:r w:rsidRPr="00880DE8">
        <w:rPr>
          <w:sz w:val="22"/>
        </w:rPr>
        <w:t>Приемная гильза и крепление протез</w:t>
      </w:r>
      <w:r>
        <w:rPr>
          <w:sz w:val="22"/>
        </w:rPr>
        <w:t xml:space="preserve">а </w:t>
      </w:r>
      <w:r w:rsidRPr="00880DE8">
        <w:rPr>
          <w:sz w:val="22"/>
        </w:rPr>
        <w:t xml:space="preserve">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F64942" w:rsidRPr="00880DE8" w:rsidRDefault="00F64942" w:rsidP="00F64942">
      <w:pPr>
        <w:widowControl w:val="0"/>
        <w:autoSpaceDE w:val="0"/>
        <w:autoSpaceDN w:val="0"/>
        <w:adjustRightInd w:val="0"/>
        <w:ind w:left="-567" w:right="1" w:firstLine="709"/>
        <w:jc w:val="both"/>
        <w:rPr>
          <w:sz w:val="22"/>
        </w:rPr>
      </w:pPr>
      <w:r w:rsidRPr="00880DE8">
        <w:rPr>
          <w:sz w:val="22"/>
        </w:rPr>
        <w:t xml:space="preserve">Материалы приемной гильзы, контактирующих с телом человека, должны быть разрешены к применению </w:t>
      </w:r>
      <w:proofErr w:type="spellStart"/>
      <w:r w:rsidRPr="00880DE8">
        <w:rPr>
          <w:sz w:val="22"/>
        </w:rPr>
        <w:t>Минздравсоцразвитием</w:t>
      </w:r>
      <w:proofErr w:type="spellEnd"/>
      <w:r w:rsidRPr="00880DE8">
        <w:rPr>
          <w:sz w:val="22"/>
        </w:rPr>
        <w:t xml:space="preserve"> России.</w:t>
      </w:r>
      <w:r w:rsidRPr="00880DE8">
        <w:rPr>
          <w:sz w:val="22"/>
        </w:rPr>
        <w:tab/>
      </w:r>
    </w:p>
    <w:p w:rsidR="00F64942" w:rsidRPr="00880DE8" w:rsidRDefault="00F64942" w:rsidP="00F64942">
      <w:pPr>
        <w:widowControl w:val="0"/>
        <w:autoSpaceDE w:val="0"/>
        <w:autoSpaceDN w:val="0"/>
        <w:adjustRightInd w:val="0"/>
        <w:ind w:left="-567" w:right="1" w:firstLine="709"/>
        <w:jc w:val="both"/>
        <w:rPr>
          <w:sz w:val="22"/>
        </w:rPr>
      </w:pPr>
      <w:r w:rsidRPr="00880DE8">
        <w:rPr>
          <w:sz w:val="22"/>
        </w:rPr>
        <w:t>Узлы протез</w:t>
      </w:r>
      <w:r>
        <w:rPr>
          <w:sz w:val="22"/>
        </w:rPr>
        <w:t xml:space="preserve">а </w:t>
      </w:r>
      <w:r w:rsidRPr="00880DE8">
        <w:rPr>
          <w:sz w:val="22"/>
        </w:rPr>
        <w:t xml:space="preserve">должны быть стойкими к воздействию физиологических растворов (пота, мочи). </w:t>
      </w:r>
    </w:p>
    <w:p w:rsidR="00F64942" w:rsidRDefault="00F64942" w:rsidP="00F64942">
      <w:pPr>
        <w:widowControl w:val="0"/>
        <w:autoSpaceDE w:val="0"/>
        <w:autoSpaceDN w:val="0"/>
        <w:adjustRightInd w:val="0"/>
        <w:ind w:left="-567" w:right="1" w:firstLine="709"/>
        <w:jc w:val="both"/>
        <w:rPr>
          <w:sz w:val="22"/>
        </w:rPr>
      </w:pPr>
      <w:r w:rsidRPr="00880DE8">
        <w:rPr>
          <w:sz w:val="22"/>
        </w:rPr>
        <w:t>Металлические части протез</w:t>
      </w:r>
      <w:r>
        <w:rPr>
          <w:sz w:val="22"/>
        </w:rPr>
        <w:t xml:space="preserve">а </w:t>
      </w:r>
      <w:r w:rsidRPr="00880DE8">
        <w:rPr>
          <w:sz w:val="22"/>
        </w:rPr>
        <w:t xml:space="preserve">должны быть изготовлены из коррозийно-стойких материалов или защищены от коррозии специальными покрытиями. </w:t>
      </w:r>
    </w:p>
    <w:p w:rsidR="00F64942" w:rsidRPr="00A67451" w:rsidRDefault="00F64942" w:rsidP="00F64942">
      <w:pPr>
        <w:widowControl w:val="0"/>
        <w:shd w:val="clear" w:color="auto" w:fill="FFFFFF"/>
        <w:tabs>
          <w:tab w:val="left" w:pos="7530"/>
        </w:tabs>
        <w:autoSpaceDE w:val="0"/>
        <w:autoSpaceDN w:val="0"/>
        <w:adjustRightInd w:val="0"/>
        <w:ind w:left="-567" w:right="1" w:firstLine="709"/>
        <w:jc w:val="both"/>
        <w:rPr>
          <w:b/>
          <w:sz w:val="22"/>
        </w:rPr>
      </w:pPr>
      <w:r w:rsidRPr="00A67451">
        <w:rPr>
          <w:b/>
          <w:bCs/>
          <w:color w:val="000000"/>
          <w:sz w:val="22"/>
        </w:rPr>
        <w:t>Требования к результатам работ.</w:t>
      </w:r>
      <w:r w:rsidRPr="00A67451">
        <w:rPr>
          <w:b/>
          <w:bCs/>
          <w:color w:val="000000"/>
          <w:sz w:val="22"/>
        </w:rPr>
        <w:tab/>
      </w:r>
    </w:p>
    <w:p w:rsidR="00F64942" w:rsidRPr="00A67451" w:rsidRDefault="00F64942" w:rsidP="00F64942">
      <w:pPr>
        <w:widowControl w:val="0"/>
        <w:shd w:val="clear" w:color="auto" w:fill="FFFFFF"/>
        <w:autoSpaceDE w:val="0"/>
        <w:autoSpaceDN w:val="0"/>
        <w:adjustRightInd w:val="0"/>
        <w:ind w:left="-567" w:right="1" w:firstLine="709"/>
        <w:jc w:val="both"/>
        <w:rPr>
          <w:sz w:val="22"/>
        </w:rPr>
      </w:pPr>
      <w:r w:rsidRPr="00A67451">
        <w:rPr>
          <w:color w:val="000000"/>
          <w:sz w:val="22"/>
        </w:rPr>
        <w:t>Работы по обеспечению инвалида протезом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протезом должны быть выполнены с надлежащим качеством и в установленные сроки.</w:t>
      </w:r>
    </w:p>
    <w:p w:rsidR="00F64942" w:rsidRPr="00A67451" w:rsidRDefault="00F64942" w:rsidP="00F64942">
      <w:pPr>
        <w:widowControl w:val="0"/>
        <w:shd w:val="clear" w:color="auto" w:fill="FFFFFF"/>
        <w:autoSpaceDE w:val="0"/>
        <w:autoSpaceDN w:val="0"/>
        <w:adjustRightInd w:val="0"/>
        <w:ind w:left="-567" w:right="1" w:firstLine="709"/>
        <w:jc w:val="both"/>
        <w:rPr>
          <w:b/>
          <w:sz w:val="22"/>
        </w:rPr>
      </w:pPr>
      <w:r w:rsidRPr="00A67451">
        <w:rPr>
          <w:b/>
          <w:bCs/>
          <w:color w:val="000000"/>
          <w:sz w:val="22"/>
        </w:rPr>
        <w:t>Требования к размерам, упаковке и отгрузке товара.</w:t>
      </w:r>
    </w:p>
    <w:p w:rsidR="00F64942" w:rsidRPr="00A67451" w:rsidRDefault="00F64942" w:rsidP="00F64942">
      <w:pPr>
        <w:widowControl w:val="0"/>
        <w:shd w:val="clear" w:color="auto" w:fill="FFFFFF"/>
        <w:autoSpaceDE w:val="0"/>
        <w:autoSpaceDN w:val="0"/>
        <w:adjustRightInd w:val="0"/>
        <w:ind w:left="-567" w:right="1" w:firstLine="709"/>
        <w:jc w:val="both"/>
        <w:rPr>
          <w:sz w:val="22"/>
        </w:rPr>
      </w:pPr>
      <w:r w:rsidRPr="00A67451">
        <w:rPr>
          <w:color w:val="000000"/>
          <w:sz w:val="22"/>
        </w:rPr>
        <w:t>При необходимости отправки протезно-ортопедического изделия к месту нахождения инвалида упаковка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F64942" w:rsidRPr="00A67451" w:rsidRDefault="00F64942" w:rsidP="00F64942">
      <w:pPr>
        <w:widowControl w:val="0"/>
        <w:suppressAutoHyphens/>
        <w:autoSpaceDN w:val="0"/>
        <w:ind w:left="-567" w:right="1" w:firstLine="709"/>
        <w:jc w:val="both"/>
        <w:rPr>
          <w:color w:val="000000"/>
          <w:sz w:val="22"/>
        </w:rPr>
      </w:pPr>
      <w:r w:rsidRPr="00A67451">
        <w:rPr>
          <w:rFonts w:eastAsia="Lucida Sans Unicode"/>
          <w:b/>
          <w:bCs/>
          <w:color w:val="000000"/>
          <w:sz w:val="22"/>
          <w:lang w:eastAsia="en-US" w:bidi="en-US"/>
        </w:rPr>
        <w:t>Требования к срокам и (или) объему предоставления гарантии качества работ.</w:t>
      </w:r>
    </w:p>
    <w:p w:rsidR="00F64942" w:rsidRPr="00A67451" w:rsidRDefault="00F64942" w:rsidP="00F64942">
      <w:pPr>
        <w:shd w:val="clear" w:color="auto" w:fill="FFFFFF"/>
        <w:ind w:left="-567" w:right="1" w:firstLine="709"/>
        <w:jc w:val="both"/>
        <w:rPr>
          <w:b/>
          <w:bCs/>
          <w:color w:val="000000"/>
          <w:sz w:val="22"/>
          <w:szCs w:val="22"/>
        </w:rPr>
      </w:pPr>
      <w:r w:rsidRPr="00A67451">
        <w:rPr>
          <w:color w:val="000000"/>
          <w:spacing w:val="4"/>
          <w:sz w:val="22"/>
          <w:szCs w:val="22"/>
        </w:rPr>
        <w:lastRenderedPageBreak/>
        <w:t xml:space="preserve">Гарантийный срок на протезно-ортопедическое изделие устанавливается со дня выдачи готового изделия в эксплуатацию </w:t>
      </w:r>
      <w:r w:rsidRPr="00A67451">
        <w:rPr>
          <w:color w:val="000000"/>
          <w:sz w:val="22"/>
          <w:szCs w:val="22"/>
        </w:rPr>
        <w:t xml:space="preserve">и должен </w:t>
      </w:r>
      <w:r w:rsidRPr="002D2756">
        <w:rPr>
          <w:color w:val="000000"/>
          <w:sz w:val="22"/>
          <w:szCs w:val="22"/>
        </w:rPr>
        <w:t xml:space="preserve">составлять </w:t>
      </w:r>
      <w:r w:rsidRPr="002D2756">
        <w:rPr>
          <w:b/>
          <w:bCs/>
          <w:color w:val="000000"/>
          <w:sz w:val="22"/>
          <w:szCs w:val="22"/>
        </w:rPr>
        <w:t>не менее 12 (двенадцати) месяцев.</w:t>
      </w:r>
    </w:p>
    <w:p w:rsidR="00F64942" w:rsidRDefault="00F64942" w:rsidP="00F64942">
      <w:pPr>
        <w:ind w:left="-567" w:right="1" w:firstLine="709"/>
        <w:contextualSpacing/>
        <w:jc w:val="both"/>
        <w:rPr>
          <w:rFonts w:eastAsia="Lucida Sans Unicode"/>
          <w:kern w:val="2"/>
          <w:sz w:val="22"/>
        </w:rPr>
      </w:pPr>
      <w:r w:rsidRPr="00A67451">
        <w:rPr>
          <w:rFonts w:eastAsia="Lucida Sans Unicode"/>
          <w:kern w:val="2"/>
          <w:sz w:val="22"/>
        </w:rPr>
        <w:t>В течение этого срока предприятие-изготовитель обязано производить замену или ремонт Изделия бесплатно. Срок дополнительной гарантии</w:t>
      </w:r>
      <w:r w:rsidRPr="00BC3788">
        <w:rPr>
          <w:rFonts w:eastAsia="Lucida Sans Unicode"/>
          <w:kern w:val="2"/>
          <w:sz w:val="22"/>
        </w:rPr>
        <w:t xml:space="preserve"> качества изделия не должен превышать срока службы изделия.</w:t>
      </w:r>
    </w:p>
    <w:p w:rsidR="00F64942" w:rsidRPr="00A67451" w:rsidRDefault="00F64942" w:rsidP="00F64942">
      <w:pPr>
        <w:suppressAutoHyphens/>
        <w:ind w:left="-567" w:right="1" w:firstLine="709"/>
        <w:jc w:val="both"/>
        <w:rPr>
          <w:b/>
          <w:i/>
          <w:color w:val="FF0000"/>
          <w:sz w:val="22"/>
          <w:szCs w:val="22"/>
        </w:rPr>
      </w:pPr>
      <w:r w:rsidRPr="00A045DB">
        <w:rPr>
          <w:b/>
          <w:sz w:val="22"/>
          <w:szCs w:val="22"/>
        </w:rPr>
        <w:t xml:space="preserve">Размер обеспечения гарантийных обязательств составляет 1% начальной (максимальной) цены контракта: </w:t>
      </w:r>
      <w:r w:rsidRPr="001E3BFB">
        <w:rPr>
          <w:b/>
          <w:i/>
          <w:color w:val="FF0000"/>
          <w:sz w:val="22"/>
          <w:szCs w:val="22"/>
        </w:rPr>
        <w:t>17 191 (семнадцать тысяч сто девяносто один) рубль 17 копеек</w:t>
      </w:r>
      <w:r w:rsidRPr="00A67451">
        <w:rPr>
          <w:b/>
          <w:i/>
          <w:color w:val="FF0000"/>
          <w:sz w:val="22"/>
          <w:szCs w:val="22"/>
        </w:rPr>
        <w:t>.</w:t>
      </w:r>
    </w:p>
    <w:p w:rsidR="00F64942" w:rsidRPr="00A045DB" w:rsidRDefault="00F64942" w:rsidP="00F64942">
      <w:pPr>
        <w:ind w:left="-567" w:right="1" w:firstLine="709"/>
        <w:contextualSpacing/>
        <w:jc w:val="both"/>
        <w:rPr>
          <w:rFonts w:eastAsia="Calibri"/>
          <w:sz w:val="22"/>
          <w:szCs w:val="22"/>
          <w:lang w:eastAsia="en-US"/>
        </w:rPr>
      </w:pPr>
      <w:r w:rsidRPr="00A67451">
        <w:rPr>
          <w:rFonts w:eastAsia="Calibri"/>
          <w:sz w:val="22"/>
          <w:szCs w:val="22"/>
          <w:lang w:eastAsia="en-US"/>
        </w:rPr>
        <w:t>Обеспечение гарантийных обязательств предоставляется Поставщиком в виде безот</w:t>
      </w:r>
      <w:r w:rsidRPr="00A045DB">
        <w:rPr>
          <w:rFonts w:eastAsia="Calibri"/>
          <w:sz w:val="22"/>
          <w:szCs w:val="22"/>
          <w:lang w:eastAsia="en-US"/>
        </w:rPr>
        <w:t xml:space="preserve">зывной банковской гарантии, выданной банком в соответствии со </w:t>
      </w:r>
      <w:hyperlink r:id="rId4" w:history="1">
        <w:r w:rsidRPr="00A045DB">
          <w:rPr>
            <w:rFonts w:eastAsia="Calibri"/>
            <w:sz w:val="22"/>
            <w:szCs w:val="22"/>
            <w:lang w:eastAsia="en-US"/>
          </w:rPr>
          <w:t>статьей 45</w:t>
        </w:r>
      </w:hyperlink>
      <w:r w:rsidRPr="00A045DB">
        <w:rPr>
          <w:rFonts w:eastAsia="Calibri"/>
          <w:sz w:val="22"/>
          <w:szCs w:val="22"/>
          <w:lang w:eastAsia="en-US"/>
        </w:rPr>
        <w:t xml:space="preserve"> Федерального закона N 44-ФЗ, или внесением денежных средств на указанный Заказчиком счет по следующим реквизитам: </w:t>
      </w:r>
    </w:p>
    <w:p w:rsidR="00F64942" w:rsidRPr="00616944" w:rsidRDefault="00F64942" w:rsidP="00F64942">
      <w:pPr>
        <w:ind w:left="-567" w:right="1" w:firstLine="709"/>
        <w:contextualSpacing/>
        <w:jc w:val="both"/>
        <w:rPr>
          <w:rFonts w:eastAsia="Calibri"/>
          <w:sz w:val="22"/>
          <w:szCs w:val="22"/>
          <w:lang w:eastAsia="en-US"/>
        </w:rPr>
      </w:pPr>
      <w:r w:rsidRPr="00A045DB">
        <w:rPr>
          <w:rFonts w:eastAsia="Calibri"/>
          <w:i/>
          <w:sz w:val="22"/>
          <w:szCs w:val="22"/>
          <w:lang w:eastAsia="en-US"/>
        </w:rPr>
        <w:t>Фонд социального страхования Российской Федерации (Государственное учреждение - Магаданское региональное отделение Фонда социального страхования Российской Федерации л/с 05474010020), ИНН 4909039203, КПП 490901001. Корсчет (единый казначейский счет): 40102810945370000040. Расчетный счет (казначейский счет) №03252643000000074700, ОТДЕЛЕНИЕ МАГАДАН БАНКА РОССИИ//УФК по Магаданской области г. Магадан, БИК 014442501.</w:t>
      </w:r>
    </w:p>
    <w:p w:rsidR="00F64942" w:rsidRPr="00616944" w:rsidRDefault="00F64942" w:rsidP="00F64942">
      <w:pPr>
        <w:ind w:left="-567" w:right="1" w:firstLine="709"/>
        <w:contextualSpacing/>
        <w:jc w:val="both"/>
        <w:rPr>
          <w:rFonts w:eastAsia="Calibri"/>
          <w:i/>
          <w:sz w:val="22"/>
          <w:szCs w:val="22"/>
          <w:lang w:eastAsia="en-US"/>
        </w:rPr>
      </w:pPr>
      <w:r w:rsidRPr="00616944">
        <w:rPr>
          <w:rFonts w:eastAsia="Calibri"/>
          <w:i/>
          <w:sz w:val="22"/>
          <w:szCs w:val="22"/>
          <w:lang w:eastAsia="en-US"/>
        </w:rPr>
        <w:t>Назначение платежа: обеспечение гарантийных обязательств по Государственному контракту №________от __. __________2021 года на___________ (указать предмет Государственного контракта).</w:t>
      </w:r>
    </w:p>
    <w:p w:rsidR="00F64942" w:rsidRPr="00616944" w:rsidRDefault="00F64942" w:rsidP="00F64942">
      <w:pPr>
        <w:ind w:left="-567" w:right="1" w:firstLine="709"/>
        <w:contextualSpacing/>
        <w:jc w:val="both"/>
        <w:rPr>
          <w:rFonts w:eastAsia="Calibri"/>
          <w:sz w:val="22"/>
          <w:szCs w:val="22"/>
          <w:lang w:eastAsia="en-US"/>
        </w:rPr>
      </w:pPr>
      <w:r w:rsidRPr="00616944">
        <w:rPr>
          <w:rFonts w:eastAsia="Calibri"/>
          <w:sz w:val="22"/>
          <w:szCs w:val="22"/>
          <w:lang w:eastAsia="en-US"/>
        </w:rPr>
        <w:t>Способ обеспечения исполнения гарантийных обязательств определяется Поставщиком самостоятельно.</w:t>
      </w:r>
    </w:p>
    <w:p w:rsidR="00F64942" w:rsidRDefault="00F64942" w:rsidP="00F64942">
      <w:pPr>
        <w:widowControl w:val="0"/>
        <w:autoSpaceDN w:val="0"/>
        <w:ind w:left="-567" w:right="1" w:firstLine="709"/>
        <w:jc w:val="both"/>
        <w:rPr>
          <w:b/>
          <w:sz w:val="22"/>
          <w:szCs w:val="22"/>
        </w:rPr>
      </w:pPr>
      <w:r w:rsidRPr="00D61734">
        <w:rPr>
          <w:rFonts w:eastAsia="Lucida Sans Unicode"/>
          <w:b/>
          <w:color w:val="000000"/>
          <w:sz w:val="22"/>
          <w:lang w:eastAsia="en-US" w:bidi="en-US"/>
        </w:rPr>
        <w:t>Сроки выполняемых работ:</w:t>
      </w:r>
      <w:r>
        <w:rPr>
          <w:rFonts w:eastAsia="Lucida Sans Unicode"/>
          <w:b/>
          <w:color w:val="000000"/>
          <w:sz w:val="22"/>
          <w:lang w:eastAsia="en-US" w:bidi="en-US"/>
        </w:rPr>
        <w:t xml:space="preserve"> </w:t>
      </w:r>
      <w:r w:rsidRPr="001400B9">
        <w:rPr>
          <w:rFonts w:eastAsia="Lucida Sans Unicode"/>
          <w:color w:val="000000"/>
          <w:sz w:val="22"/>
          <w:lang w:eastAsia="en-US" w:bidi="en-US"/>
        </w:rPr>
        <w:t>Исполнитель выполняет работу и передает е</w:t>
      </w:r>
      <w:r>
        <w:rPr>
          <w:rFonts w:eastAsia="Lucida Sans Unicode"/>
          <w:color w:val="000000"/>
          <w:sz w:val="22"/>
          <w:lang w:eastAsia="en-US" w:bidi="en-US"/>
        </w:rPr>
        <w:t>е результат инвалиду в течение 3</w:t>
      </w:r>
      <w:r w:rsidRPr="001400B9">
        <w:rPr>
          <w:rFonts w:eastAsia="Lucida Sans Unicode"/>
          <w:color w:val="000000"/>
          <w:sz w:val="22"/>
          <w:lang w:eastAsia="en-US" w:bidi="en-US"/>
        </w:rPr>
        <w:t>0 дней с момента обращения Получателя с направлением на выполнение работ по изгото</w:t>
      </w:r>
      <w:r>
        <w:rPr>
          <w:rFonts w:eastAsia="Lucida Sans Unicode"/>
          <w:color w:val="000000"/>
          <w:sz w:val="22"/>
          <w:lang w:eastAsia="en-US" w:bidi="en-US"/>
        </w:rPr>
        <w:t xml:space="preserve">влению Изделия, но не </w:t>
      </w:r>
      <w:r w:rsidRPr="003F74FF">
        <w:rPr>
          <w:rFonts w:eastAsia="Lucida Sans Unicode"/>
          <w:color w:val="000000"/>
          <w:sz w:val="22"/>
          <w:lang w:eastAsia="en-US" w:bidi="en-US"/>
        </w:rPr>
        <w:t xml:space="preserve">позднее </w:t>
      </w:r>
      <w:r>
        <w:rPr>
          <w:rFonts w:eastAsia="Lucida Sans Unicode"/>
          <w:color w:val="000000"/>
          <w:sz w:val="22"/>
          <w:lang w:eastAsia="en-US" w:bidi="en-US"/>
        </w:rPr>
        <w:t xml:space="preserve">10 декабря </w:t>
      </w:r>
      <w:r w:rsidRPr="003F74FF">
        <w:rPr>
          <w:rFonts w:eastAsia="Lucida Sans Unicode"/>
          <w:color w:val="000000"/>
          <w:sz w:val="22"/>
          <w:lang w:eastAsia="en-US" w:bidi="en-US"/>
        </w:rPr>
        <w:t>202</w:t>
      </w:r>
      <w:r>
        <w:rPr>
          <w:rFonts w:eastAsia="Lucida Sans Unicode"/>
          <w:color w:val="000000"/>
          <w:sz w:val="22"/>
          <w:lang w:eastAsia="en-US" w:bidi="en-US"/>
        </w:rPr>
        <w:t>1</w:t>
      </w:r>
      <w:r w:rsidRPr="003F74FF">
        <w:rPr>
          <w:rFonts w:eastAsia="Lucida Sans Unicode"/>
          <w:color w:val="000000"/>
          <w:sz w:val="22"/>
          <w:lang w:eastAsia="en-US" w:bidi="en-US"/>
        </w:rPr>
        <w:t xml:space="preserve"> года.</w:t>
      </w:r>
      <w:r w:rsidRPr="001400B9">
        <w:rPr>
          <w:rFonts w:eastAsia="Lucida Sans Unicode"/>
          <w:color w:val="000000"/>
          <w:sz w:val="22"/>
          <w:lang w:eastAsia="en-US" w:bidi="en-US"/>
        </w:rPr>
        <w:t xml:space="preserve"> </w:t>
      </w:r>
    </w:p>
    <w:p w:rsidR="009E3EDC" w:rsidRDefault="00F64942" w:rsidP="00F64942">
      <w:pPr>
        <w:ind w:left="-567" w:firstLine="709"/>
        <w:jc w:val="both"/>
      </w:pPr>
      <w:r w:rsidRPr="00941DF4">
        <w:rPr>
          <w:rStyle w:val="T2"/>
          <w:rFonts w:eastAsia="Arial CYR"/>
          <w:b/>
          <w:iCs/>
          <w:color w:val="000000"/>
          <w:spacing w:val="-4"/>
          <w:sz w:val="22"/>
          <w:szCs w:val="22"/>
        </w:rPr>
        <w:t>Место выполнения работ:</w:t>
      </w:r>
      <w:r>
        <w:rPr>
          <w:rStyle w:val="T2"/>
          <w:rFonts w:eastAsia="Arial CYR"/>
          <w:iCs/>
          <w:color w:val="000000"/>
          <w:spacing w:val="-4"/>
          <w:sz w:val="22"/>
          <w:szCs w:val="22"/>
        </w:rPr>
        <w:t xml:space="preserve"> </w:t>
      </w:r>
      <w:r w:rsidRPr="00462A1E">
        <w:rPr>
          <w:rStyle w:val="T2"/>
          <w:rFonts w:eastAsia="Arial CYR"/>
          <w:iCs/>
          <w:color w:val="000000"/>
          <w:spacing w:val="-4"/>
          <w:sz w:val="22"/>
          <w:szCs w:val="22"/>
        </w:rPr>
        <w:t xml:space="preserve">Российская Федерация, </w:t>
      </w:r>
      <w:r>
        <w:rPr>
          <w:rStyle w:val="T2"/>
          <w:rFonts w:eastAsia="Arial CYR"/>
          <w:iCs/>
          <w:color w:val="000000"/>
          <w:spacing w:val="-4"/>
          <w:sz w:val="22"/>
          <w:szCs w:val="22"/>
        </w:rPr>
        <w:t>Алтайский</w:t>
      </w:r>
      <w:r w:rsidRPr="00462A1E">
        <w:rPr>
          <w:rStyle w:val="T2"/>
          <w:rFonts w:eastAsia="Arial CYR"/>
          <w:iCs/>
          <w:color w:val="000000"/>
          <w:spacing w:val="-4"/>
          <w:sz w:val="22"/>
          <w:szCs w:val="22"/>
        </w:rPr>
        <w:t xml:space="preserve"> край, по месту нахождения Исполнителя, в условиях стационара</w:t>
      </w:r>
      <w:r w:rsidRPr="00C635E1">
        <w:rPr>
          <w:rStyle w:val="T2"/>
          <w:rFonts w:eastAsia="Arial CYR"/>
          <w:iCs/>
          <w:color w:val="000000"/>
          <w:spacing w:val="-4"/>
          <w:sz w:val="22"/>
          <w:szCs w:val="22"/>
        </w:rPr>
        <w:t>.</w:t>
      </w:r>
      <w:bookmarkStart w:id="0" w:name="_GoBack"/>
      <w:bookmarkEnd w:id="0"/>
    </w:p>
    <w:sectPr w:rsidR="009E3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42"/>
    <w:rsid w:val="009E3EDC"/>
    <w:rsid w:val="00F6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44A5E-5B8F-4674-BB47-BA5BF8A6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F64942"/>
    <w:pPr>
      <w:spacing w:before="100" w:beforeAutospacing="1" w:after="100" w:afterAutospacing="1"/>
    </w:pPr>
    <w:rPr>
      <w:rFonts w:ascii="Tahoma" w:hAnsi="Tahoma"/>
      <w:sz w:val="20"/>
      <w:szCs w:val="20"/>
      <w:lang w:val="en-US" w:eastAsia="en-US"/>
    </w:rPr>
  </w:style>
  <w:style w:type="character" w:customStyle="1" w:styleId="T2">
    <w:name w:val="T2"/>
    <w:rsid w:val="00F64942"/>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136D2C41E04BB697ABC25A10810E46A4BA1F799F51B35074DF8584A33F759A9FB7D39EB6BA715D1A3DAB58BF7E0BA788350000ESCb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Грехов Сергей Анатольевич</dc:creator>
  <cp:keywords/>
  <dc:description/>
  <cp:lastModifiedBy>Грехов Сергей Анатольевич</cp:lastModifiedBy>
  <cp:revision>1</cp:revision>
  <dcterms:created xsi:type="dcterms:W3CDTF">2021-10-14T23:02:00Z</dcterms:created>
  <dcterms:modified xsi:type="dcterms:W3CDTF">2021-10-14T23:02:00Z</dcterms:modified>
</cp:coreProperties>
</file>