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3A" w:rsidRDefault="0014393A" w:rsidP="0014393A">
      <w:pPr>
        <w:keepNext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Описания объекта закупки</w:t>
      </w:r>
    </w:p>
    <w:p w:rsidR="0014393A" w:rsidRDefault="0014393A" w:rsidP="0014393A">
      <w:pPr>
        <w:keepNext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поставка</w:t>
      </w:r>
      <w:r>
        <w:rPr>
          <w:b/>
          <w:sz w:val="22"/>
          <w:szCs w:val="22"/>
        </w:rPr>
        <w:t xml:space="preserve"> специальных сре</w:t>
      </w:r>
      <w:proofErr w:type="gramStart"/>
      <w:r>
        <w:rPr>
          <w:b/>
          <w:sz w:val="22"/>
          <w:szCs w:val="22"/>
        </w:rPr>
        <w:t>дств пр</w:t>
      </w:r>
      <w:proofErr w:type="gramEnd"/>
      <w:r>
        <w:rPr>
          <w:b/>
          <w:sz w:val="22"/>
          <w:szCs w:val="22"/>
        </w:rPr>
        <w:t xml:space="preserve">и нарушениях функций выделения </w:t>
      </w:r>
    </w:p>
    <w:p w:rsidR="0014393A" w:rsidRDefault="0014393A" w:rsidP="0014393A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обеспечения инвалидов в 2021 году</w:t>
      </w:r>
    </w:p>
    <w:p w:rsidR="0014393A" w:rsidRDefault="0014393A" w:rsidP="0014393A">
      <w:pPr>
        <w:keepNext/>
        <w:ind w:firstLine="709"/>
        <w:jc w:val="both"/>
        <w:rPr>
          <w:b/>
          <w:sz w:val="22"/>
          <w:szCs w:val="22"/>
        </w:rPr>
      </w:pPr>
    </w:p>
    <w:p w:rsidR="0014393A" w:rsidRDefault="0014393A" w:rsidP="0014393A">
      <w:pPr>
        <w:pStyle w:val="10"/>
        <w:keepNext/>
        <w:numPr>
          <w:ilvl w:val="0"/>
          <w:numId w:val="4"/>
        </w:numPr>
        <w:tabs>
          <w:tab w:val="left" w:pos="-720"/>
          <w:tab w:val="left" w:pos="284"/>
        </w:tabs>
        <w:ind w:left="142" w:firstLine="42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товара, работ, услуг: специальные средства при нарушениях функций выделения.</w:t>
      </w:r>
    </w:p>
    <w:p w:rsidR="0014393A" w:rsidRDefault="0014393A" w:rsidP="0014393A">
      <w:pPr>
        <w:tabs>
          <w:tab w:val="left" w:pos="708"/>
        </w:tabs>
        <w:ind w:left="142" w:firstLine="426"/>
        <w:jc w:val="both"/>
      </w:pPr>
      <w:r>
        <w:t xml:space="preserve"> Специальные средства при нарушениях функций выделения должны соответствовать требованиям: 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14393A" w:rsidRDefault="0014393A" w:rsidP="0014393A">
      <w:pPr>
        <w:tabs>
          <w:tab w:val="left" w:pos="708"/>
        </w:tabs>
        <w:ind w:left="142" w:firstLine="426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58235-2018 «Специальные средства при нарушениях функций выделения. Термины и определения. Классификация».</w:t>
      </w:r>
    </w:p>
    <w:p w:rsidR="0014393A" w:rsidRDefault="0014393A" w:rsidP="0014393A">
      <w:pPr>
        <w:keepNext/>
        <w:ind w:left="142" w:firstLine="426"/>
        <w:jc w:val="both"/>
      </w:pPr>
      <w:r>
        <w:t>Подтверждением качества товара является: регистрационное удостоверение.</w:t>
      </w:r>
    </w:p>
    <w:p w:rsidR="0014393A" w:rsidRDefault="0014393A" w:rsidP="0014393A">
      <w:pPr>
        <w:pStyle w:val="10"/>
        <w:keepNext/>
        <w:numPr>
          <w:ilvl w:val="0"/>
          <w:numId w:val="4"/>
        </w:numPr>
        <w:tabs>
          <w:tab w:val="left" w:pos="-720"/>
          <w:tab w:val="left" w:pos="284"/>
        </w:tabs>
        <w:ind w:left="142" w:firstLine="42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безопасности товара:</w:t>
      </w:r>
    </w:p>
    <w:p w:rsidR="0014393A" w:rsidRDefault="0014393A" w:rsidP="0014393A">
      <w:pPr>
        <w:keepNext/>
        <w:ind w:left="142" w:firstLine="426"/>
        <w:jc w:val="both"/>
      </w:pPr>
      <w:r>
        <w:t xml:space="preserve">Сырье и материалы для изготовления специальных средств при нарушениях функций выделения должны соответствовать ГОСТ </w:t>
      </w:r>
      <w:proofErr w:type="gramStart"/>
      <w:r>
        <w:t>Р</w:t>
      </w:r>
      <w:proofErr w:type="gramEnd"/>
      <w:r>
        <w:t xml:space="preserve"> ИСО 10993-2011(часть - 1,3,4,5,6,10,11) «Изделия медицинские. Оценка биологического действия медицинских изделий».</w:t>
      </w:r>
    </w:p>
    <w:p w:rsidR="0014393A" w:rsidRDefault="0014393A" w:rsidP="0014393A">
      <w:pPr>
        <w:keepNext/>
        <w:ind w:left="142" w:firstLine="426"/>
        <w:jc w:val="both"/>
      </w:pPr>
      <w: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t>Роспотребнадзора</w:t>
      </w:r>
      <w:proofErr w:type="spellEnd"/>
      <w:r>
        <w:t>) и обеспечивающих безопасность и функциональное назначение специальных сре</w:t>
      </w:r>
      <w:proofErr w:type="gramStart"/>
      <w:r>
        <w:t>дств пр</w:t>
      </w:r>
      <w:proofErr w:type="gramEnd"/>
      <w:r>
        <w:t>и нарушениях функций выделения.</w:t>
      </w:r>
    </w:p>
    <w:p w:rsidR="0014393A" w:rsidRDefault="0014393A" w:rsidP="0014393A">
      <w:pPr>
        <w:pStyle w:val="10"/>
        <w:keepNext/>
        <w:numPr>
          <w:ilvl w:val="0"/>
          <w:numId w:val="4"/>
        </w:numPr>
        <w:tabs>
          <w:tab w:val="left" w:pos="-720"/>
          <w:tab w:val="left" w:pos="284"/>
        </w:tabs>
        <w:ind w:left="142" w:firstLine="426"/>
        <w:jc w:val="both"/>
        <w:outlineLvl w:val="2"/>
        <w:rPr>
          <w:rFonts w:ascii="Times New Roman" w:hAnsi="Times New Roman" w:cs="Times New Roman"/>
          <w:bCs/>
          <w:shd w:val="clear" w:color="auto" w:fill="00FFFF"/>
        </w:rPr>
      </w:pPr>
      <w:r>
        <w:rPr>
          <w:rFonts w:ascii="Times New Roman" w:hAnsi="Times New Roman" w:cs="Times New Roman"/>
          <w:bCs/>
        </w:rPr>
        <w:t>Требования, предъявляемые к товару:</w:t>
      </w:r>
    </w:p>
    <w:p w:rsidR="0014393A" w:rsidRDefault="0014393A" w:rsidP="0014393A">
      <w:pPr>
        <w:keepNext/>
        <w:ind w:left="142" w:firstLine="426"/>
        <w:jc w:val="both"/>
      </w:pPr>
      <w:r>
        <w:t>Специальные средства при нарушениях функций выделения - это устройства, носимые на себе, в специальных средствах при нарушениях функций выделения отсутствуют механические повреждения (разрыв края, разрезы и т.п.), видимые невооруженным глазом.</w:t>
      </w:r>
    </w:p>
    <w:p w:rsidR="0014393A" w:rsidRDefault="0014393A" w:rsidP="0014393A">
      <w:pPr>
        <w:keepNext/>
        <w:ind w:left="142" w:firstLine="426"/>
        <w:jc w:val="both"/>
      </w:pPr>
      <w:r>
        <w:t>Конструкция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14393A" w:rsidRDefault="0014393A" w:rsidP="0014393A">
      <w:pPr>
        <w:pStyle w:val="10"/>
        <w:keepNext/>
        <w:numPr>
          <w:ilvl w:val="0"/>
          <w:numId w:val="4"/>
        </w:numPr>
        <w:tabs>
          <w:tab w:val="left" w:pos="-720"/>
          <w:tab w:val="left" w:pos="284"/>
        </w:tabs>
        <w:ind w:left="142" w:firstLine="42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размерам, упаковке и отгрузке товара:</w:t>
      </w:r>
    </w:p>
    <w:p w:rsidR="0014393A" w:rsidRDefault="0014393A" w:rsidP="0014393A">
      <w:pPr>
        <w:keepNext/>
        <w:ind w:left="142" w:firstLine="426"/>
        <w:jc w:val="both"/>
      </w:pPr>
      <w:r>
        <w:t>Маркировка, упаковка, транспортирование и хранение специальных сре</w:t>
      </w:r>
      <w:proofErr w:type="gramStart"/>
      <w:r>
        <w:t>дств пр</w:t>
      </w:r>
      <w:proofErr w:type="gramEnd"/>
      <w:r>
        <w:t>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14393A" w:rsidRDefault="0014393A" w:rsidP="0014393A">
      <w:pPr>
        <w:keepNext/>
        <w:ind w:left="142" w:firstLine="426"/>
        <w:jc w:val="both"/>
      </w:pPr>
      <w: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14393A" w:rsidRDefault="0014393A" w:rsidP="0014393A">
      <w:pPr>
        <w:autoSpaceDE w:val="0"/>
        <w:ind w:left="142" w:firstLine="426"/>
        <w:jc w:val="both"/>
      </w:pPr>
      <w:r>
        <w:t>Упаковка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t>Маркировка упаковки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включать: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t>- условное обозначение группы изделий, товарный знак (его словесное обозначение) (при наличии);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t>- наименование страны происхождения товара;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t>- отличительные характеристики изделий в соответствии с их техническим исполнением (при наличии);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t>- количество изделий в упаковке;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t>- дату (месяц, год) изготовления или гарантийный срок годности;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t>- правила использования (при необходимости);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t>- штриховой код изделия (при наличии);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t>- информацию о сертификации (при наличии).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rPr>
          <w:b/>
        </w:rPr>
        <w:t>5</w:t>
      </w:r>
      <w:r>
        <w:t>. Требования к сроку и (или) объему предоставленных гарантий качества специальных средств при нарушениях функций выделения: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t>Срок годности специальных средств при нарушениях функций выделения - на момент выдачи изделий должен быть не менее 12 месяцев.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lastRenderedPageBreak/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</w:pPr>
      <w:r>
        <w:rPr>
          <w:b/>
        </w:rPr>
        <w:t>6</w:t>
      </w:r>
      <w:r>
        <w:t xml:space="preserve">. Участник закупки должен поставить Товар на территорию Свердловской области 100% всего объема в течении 10 рабочих дней после подписания государственного контракта с победителем участника закупки. </w:t>
      </w:r>
      <w:r>
        <w:rPr>
          <w:b/>
        </w:rPr>
        <w:t xml:space="preserve">Срок поставки: по каждому получателю в два этапа до </w:t>
      </w:r>
      <w:r w:rsidR="000E5B54">
        <w:rPr>
          <w:b/>
        </w:rPr>
        <w:t>01.12</w:t>
      </w:r>
      <w:bookmarkStart w:id="0" w:name="_GoBack"/>
      <w:bookmarkEnd w:id="0"/>
      <w:r>
        <w:rPr>
          <w:b/>
        </w:rPr>
        <w:t>.2021 – 50% товара, до 17.12.2021 года – 100% товара, в соответствии с предоставленными реестрами получателей.</w:t>
      </w:r>
    </w:p>
    <w:p w:rsidR="0014393A" w:rsidRDefault="0014393A" w:rsidP="0014393A">
      <w:pPr>
        <w:keepLines/>
        <w:widowControl w:val="0"/>
        <w:tabs>
          <w:tab w:val="left" w:pos="708"/>
        </w:tabs>
        <w:ind w:left="142" w:firstLine="426"/>
        <w:jc w:val="both"/>
        <w:rPr>
          <w:lang w:eastAsia="ru-RU"/>
        </w:rPr>
      </w:pPr>
      <w:r>
        <w:rPr>
          <w:b/>
        </w:rPr>
        <w:t>7.  Способ доставки товара</w:t>
      </w:r>
      <w:r>
        <w:t xml:space="preserve">: Получателям предоставляется право выбора одного из способов получения Товара: по месту жительства, в пунктах выдачи Поставщика. Способ доставки товара: Получателям предоставляется право выбора одного из способов получения Товара: </w:t>
      </w:r>
      <w:r>
        <w:rPr>
          <w:lang w:eastAsia="ru-RU"/>
        </w:rPr>
        <w:t>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202D76" w:rsidRDefault="00202D76" w:rsidP="0014393A">
      <w:pPr>
        <w:keepLines/>
        <w:widowControl w:val="0"/>
        <w:tabs>
          <w:tab w:val="left" w:pos="708"/>
        </w:tabs>
        <w:ind w:left="142" w:firstLine="426"/>
        <w:jc w:val="both"/>
        <w:rPr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2607"/>
        <w:gridCol w:w="4677"/>
        <w:gridCol w:w="1134"/>
      </w:tblGrid>
      <w:tr w:rsidR="00202D76" w:rsidTr="00202D76">
        <w:trPr>
          <w:trHeight w:val="756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D76" w:rsidRDefault="00202D76" w:rsidP="00202D76">
            <w:pPr>
              <w:ind w:right="601"/>
              <w:jc w:val="both"/>
              <w:rPr>
                <w:bCs/>
              </w:rPr>
            </w:pPr>
            <w:r>
              <w:rPr>
                <w:bCs/>
              </w:rPr>
              <w:t xml:space="preserve">Поставка </w:t>
            </w:r>
            <w:r>
              <w:t>специальных сре</w:t>
            </w:r>
            <w:proofErr w:type="gramStart"/>
            <w:r>
              <w:t>дств пр</w:t>
            </w:r>
            <w:proofErr w:type="gramEnd"/>
            <w:r>
              <w:t xml:space="preserve">и нарушениях функций выделения </w:t>
            </w:r>
            <w:r>
              <w:rPr>
                <w:bCs/>
              </w:rPr>
              <w:t>для обеспечения инвалидов, проживающих на территории Свердловской области:</w:t>
            </w:r>
          </w:p>
          <w:p w:rsidR="00202D76" w:rsidRDefault="00202D76" w:rsidP="00202D7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601"/>
              <w:jc w:val="both"/>
            </w:pPr>
            <w:r>
              <w:rPr>
                <w:u w:val="single"/>
              </w:rPr>
              <w:t>районы города Екатеринбурга</w:t>
            </w:r>
            <w:r>
              <w:t xml:space="preserve">: </w:t>
            </w:r>
            <w:proofErr w:type="gramStart"/>
            <w:r>
              <w:t>Верх-</w:t>
            </w:r>
            <w:proofErr w:type="spellStart"/>
            <w:r>
              <w:t>Исетский</w:t>
            </w:r>
            <w:proofErr w:type="spellEnd"/>
            <w:proofErr w:type="gramEnd"/>
            <w:r>
              <w:t>, Железнодорожный, Кировский, Ленинский, Октябрьский, Орджоникидзевский, Чкаловский;</w:t>
            </w:r>
          </w:p>
          <w:p w:rsidR="00202D76" w:rsidRDefault="00202D76" w:rsidP="00202D7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601"/>
              <w:jc w:val="both"/>
            </w:pPr>
            <w:r>
              <w:rPr>
                <w:u w:val="single"/>
              </w:rPr>
              <w:t>в городах: Арамиль, Березовский, Верхняя Пышма, Новоуральск, Среднеуральск, Сысерть</w:t>
            </w:r>
          </w:p>
          <w:p w:rsidR="00202D76" w:rsidRDefault="00202D76" w:rsidP="00202D76">
            <w:pPr>
              <w:keepNext/>
              <w:tabs>
                <w:tab w:val="left" w:pos="708"/>
              </w:tabs>
              <w:snapToGrid w:val="0"/>
              <w:ind w:right="601"/>
              <w:jc w:val="both"/>
            </w:pPr>
            <w:r>
              <w:rPr>
                <w:u w:val="single"/>
              </w:rPr>
              <w:t>в районах:</w:t>
            </w:r>
            <w:r>
              <w:t xml:space="preserve"> Березовский, </w:t>
            </w:r>
            <w:proofErr w:type="spellStart"/>
            <w:r>
              <w:t>Сысертский</w:t>
            </w:r>
            <w:proofErr w:type="spellEnd"/>
          </w:p>
          <w:p w:rsidR="00202D76" w:rsidRDefault="00202D76" w:rsidP="00F9229D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16"/>
                <w:szCs w:val="16"/>
              </w:rPr>
            </w:pPr>
          </w:p>
          <w:p w:rsidR="00202D76" w:rsidRPr="001E128C" w:rsidRDefault="00202D76" w:rsidP="00F9229D">
            <w:pPr>
              <w:keepNext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1E128C">
              <w:rPr>
                <w:bCs/>
              </w:rPr>
              <w:t>Количество</w:t>
            </w:r>
            <w:r>
              <w:rPr>
                <w:bCs/>
              </w:rPr>
              <w:t xml:space="preserve">  </w:t>
            </w:r>
            <w:r w:rsidR="00BA1607">
              <w:rPr>
                <w:bCs/>
              </w:rPr>
              <w:t>30 300</w:t>
            </w:r>
            <w:r>
              <w:rPr>
                <w:bCs/>
              </w:rPr>
              <w:t xml:space="preserve"> </w:t>
            </w:r>
            <w:r w:rsidRPr="00BC5F39">
              <w:rPr>
                <w:bCs/>
              </w:rPr>
              <w:t>шт.</w:t>
            </w:r>
          </w:p>
          <w:p w:rsidR="00202D76" w:rsidRDefault="00202D76" w:rsidP="00F9229D">
            <w:pPr>
              <w:keepNext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202D76" w:rsidRPr="001E128C" w:rsidTr="00202D76">
        <w:trPr>
          <w:trHeight w:val="756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202D76" w:rsidRPr="001E128C" w:rsidRDefault="00202D76" w:rsidP="00F9229D">
            <w:pPr>
              <w:keepNext/>
              <w:tabs>
                <w:tab w:val="left" w:pos="708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1E128C">
              <w:rPr>
                <w:bCs/>
                <w:sz w:val="22"/>
                <w:szCs w:val="22"/>
              </w:rPr>
              <w:t>Номер вида ТСР (изделий)</w:t>
            </w:r>
            <w:r w:rsidRPr="001E128C">
              <w:rPr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202D76" w:rsidRPr="001E128C" w:rsidRDefault="00202D76" w:rsidP="00F9229D">
            <w:pPr>
              <w:keepNext/>
              <w:tabs>
                <w:tab w:val="left" w:pos="708"/>
              </w:tabs>
              <w:snapToGrid w:val="0"/>
              <w:ind w:right="432"/>
              <w:jc w:val="center"/>
              <w:rPr>
                <w:bCs/>
                <w:sz w:val="22"/>
                <w:szCs w:val="22"/>
              </w:rPr>
            </w:pPr>
            <w:r w:rsidRPr="001E128C">
              <w:rPr>
                <w:bCs/>
                <w:sz w:val="22"/>
                <w:szCs w:val="22"/>
              </w:rPr>
              <w:t>Наименование изделия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02D76" w:rsidRPr="004559A1" w:rsidRDefault="00202D76" w:rsidP="00F9229D">
            <w:pPr>
              <w:pStyle w:val="4"/>
              <w:tabs>
                <w:tab w:val="left" w:pos="0"/>
              </w:tabs>
              <w:snapToGrid w:val="0"/>
              <w:rPr>
                <w:b/>
                <w:bCs/>
                <w:i w:val="0"/>
                <w:iCs w:val="0"/>
              </w:rPr>
            </w:pPr>
            <w:r w:rsidRPr="004559A1">
              <w:rPr>
                <w:b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2D76" w:rsidRPr="001E128C" w:rsidRDefault="00202D76" w:rsidP="00F9229D">
            <w:pPr>
              <w:keepNext/>
              <w:tabs>
                <w:tab w:val="left" w:pos="708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1E128C">
              <w:rPr>
                <w:bCs/>
                <w:sz w:val="22"/>
                <w:szCs w:val="22"/>
              </w:rPr>
              <w:t>Кол-во, шт.</w:t>
            </w:r>
          </w:p>
        </w:tc>
      </w:tr>
      <w:tr w:rsidR="00202D76" w:rsidRPr="001E128C" w:rsidTr="00202D76">
        <w:trPr>
          <w:trHeight w:val="1316"/>
        </w:trPr>
        <w:tc>
          <w:tcPr>
            <w:tcW w:w="1329" w:type="dxa"/>
          </w:tcPr>
          <w:p w:rsidR="00202D76" w:rsidRPr="001E128C" w:rsidRDefault="00202D76" w:rsidP="00F9229D">
            <w:pPr>
              <w:keepNext/>
              <w:tabs>
                <w:tab w:val="left" w:pos="708"/>
              </w:tabs>
              <w:snapToGrid w:val="0"/>
              <w:ind w:left="64" w:hanging="64"/>
              <w:jc w:val="both"/>
              <w:rPr>
                <w:bCs/>
                <w:sz w:val="22"/>
                <w:szCs w:val="22"/>
              </w:rPr>
            </w:pPr>
            <w:r w:rsidRPr="001E128C">
              <w:rPr>
                <w:bCs/>
                <w:sz w:val="22"/>
                <w:szCs w:val="22"/>
              </w:rPr>
              <w:t>21-01-16</w:t>
            </w:r>
          </w:p>
        </w:tc>
        <w:tc>
          <w:tcPr>
            <w:tcW w:w="2607" w:type="dxa"/>
          </w:tcPr>
          <w:p w:rsidR="00202D76" w:rsidRPr="001E128C" w:rsidRDefault="00202D76" w:rsidP="00F9229D">
            <w:pPr>
              <w:keepNext/>
              <w:tabs>
                <w:tab w:val="left" w:pos="708"/>
              </w:tabs>
              <w:snapToGrid w:val="0"/>
              <w:ind w:left="34"/>
              <w:rPr>
                <w:bCs/>
                <w:sz w:val="22"/>
                <w:szCs w:val="22"/>
              </w:rPr>
            </w:pPr>
            <w:r w:rsidRPr="001E128C">
              <w:rPr>
                <w:bCs/>
                <w:sz w:val="22"/>
                <w:szCs w:val="22"/>
              </w:rPr>
              <w:t xml:space="preserve">Мочеприемник прикроватный (мешок для сбора мочи) ночной </w:t>
            </w:r>
          </w:p>
        </w:tc>
        <w:tc>
          <w:tcPr>
            <w:tcW w:w="4677" w:type="dxa"/>
          </w:tcPr>
          <w:p w:rsidR="00202D76" w:rsidRPr="001E128C" w:rsidRDefault="000E5B54" w:rsidP="00F9229D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Мешок для сбора мочи с дренажной трубкой и переходником для соединения с урологическим катетером или </w:t>
            </w:r>
            <w:proofErr w:type="spellStart"/>
            <w:r>
              <w:rPr>
                <w:sz w:val="22"/>
                <w:szCs w:val="22"/>
              </w:rPr>
              <w:t>уропрезервативом</w:t>
            </w:r>
            <w:proofErr w:type="spellEnd"/>
            <w:r>
              <w:rPr>
                <w:sz w:val="22"/>
                <w:szCs w:val="22"/>
              </w:rPr>
              <w:t xml:space="preserve">, фиксирующийся на штативе, кровати, кресле-коляске и т.п. с помощью специального приспособления (держателя), а также носимым на теле и фиксирующийся на ноге с помощью специальных парных ремешков, используемый для сбора большого объема мочи, как </w:t>
            </w:r>
            <w:proofErr w:type="gramStart"/>
            <w:r>
              <w:rPr>
                <w:sz w:val="22"/>
                <w:szCs w:val="22"/>
              </w:rPr>
              <w:t>правило</w:t>
            </w:r>
            <w:proofErr w:type="gramEnd"/>
            <w:r>
              <w:rPr>
                <w:sz w:val="22"/>
                <w:szCs w:val="22"/>
              </w:rPr>
              <w:t xml:space="preserve"> в ночное время</w:t>
            </w:r>
          </w:p>
        </w:tc>
        <w:tc>
          <w:tcPr>
            <w:tcW w:w="1134" w:type="dxa"/>
            <w:vAlign w:val="center"/>
          </w:tcPr>
          <w:p w:rsidR="00202D76" w:rsidRPr="00EB6F41" w:rsidRDefault="00BA1607" w:rsidP="00F92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30 300</w:t>
            </w:r>
          </w:p>
        </w:tc>
      </w:tr>
    </w:tbl>
    <w:p w:rsidR="00202D76" w:rsidRPr="001E128C" w:rsidRDefault="00202D76" w:rsidP="00202D76">
      <w:pPr>
        <w:jc w:val="both"/>
        <w:rPr>
          <w:sz w:val="18"/>
          <w:szCs w:val="18"/>
        </w:rPr>
      </w:pPr>
    </w:p>
    <w:p w:rsidR="00202D76" w:rsidRDefault="00202D76" w:rsidP="00202D76">
      <w:pPr>
        <w:jc w:val="both"/>
        <w:rPr>
          <w:b/>
          <w:bCs/>
        </w:rPr>
      </w:pPr>
    </w:p>
    <w:p w:rsidR="00202D76" w:rsidRDefault="00202D76" w:rsidP="00202D76">
      <w:pPr>
        <w:jc w:val="both"/>
      </w:pPr>
      <w:r w:rsidRPr="000E4DC4">
        <w:rPr>
          <w:b/>
          <w:bCs/>
        </w:rPr>
        <w:t>*</w:t>
      </w:r>
      <w:r w:rsidRPr="000E4DC4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r w:rsidRPr="001E128C">
        <w:t xml:space="preserve"> </w:t>
      </w:r>
    </w:p>
    <w:p w:rsidR="00202D76" w:rsidRDefault="00202D76" w:rsidP="0014393A">
      <w:pPr>
        <w:keepLines/>
        <w:widowControl w:val="0"/>
        <w:tabs>
          <w:tab w:val="left" w:pos="708"/>
        </w:tabs>
        <w:ind w:left="142" w:firstLine="426"/>
        <w:jc w:val="both"/>
        <w:rPr>
          <w:lang w:eastAsia="ru-RU"/>
        </w:rPr>
      </w:pPr>
    </w:p>
    <w:sectPr w:rsidR="00202D76" w:rsidSect="00D943DE">
      <w:pgSz w:w="11906" w:h="16838"/>
      <w:pgMar w:top="1021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9484A"/>
    <w:multiLevelType w:val="hybridMultilevel"/>
    <w:tmpl w:val="ECEC9F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60"/>
    <w:rsid w:val="0002051E"/>
    <w:rsid w:val="00027E55"/>
    <w:rsid w:val="00061E0B"/>
    <w:rsid w:val="000B5981"/>
    <w:rsid w:val="000E5B54"/>
    <w:rsid w:val="00103023"/>
    <w:rsid w:val="00107837"/>
    <w:rsid w:val="0011112A"/>
    <w:rsid w:val="0014393A"/>
    <w:rsid w:val="00150473"/>
    <w:rsid w:val="0017058C"/>
    <w:rsid w:val="001A2273"/>
    <w:rsid w:val="001B2FAC"/>
    <w:rsid w:val="001B38CF"/>
    <w:rsid w:val="001B481F"/>
    <w:rsid w:val="001E3A60"/>
    <w:rsid w:val="001E7D29"/>
    <w:rsid w:val="00202D76"/>
    <w:rsid w:val="00250156"/>
    <w:rsid w:val="002646BC"/>
    <w:rsid w:val="00266818"/>
    <w:rsid w:val="00285D53"/>
    <w:rsid w:val="002A25D2"/>
    <w:rsid w:val="002A5C08"/>
    <w:rsid w:val="00310A72"/>
    <w:rsid w:val="003364A5"/>
    <w:rsid w:val="00336EF8"/>
    <w:rsid w:val="003541A5"/>
    <w:rsid w:val="00360287"/>
    <w:rsid w:val="00365F8C"/>
    <w:rsid w:val="00366981"/>
    <w:rsid w:val="00371C87"/>
    <w:rsid w:val="0038421C"/>
    <w:rsid w:val="00392477"/>
    <w:rsid w:val="003941E9"/>
    <w:rsid w:val="003A0E03"/>
    <w:rsid w:val="003C4477"/>
    <w:rsid w:val="003D6CBC"/>
    <w:rsid w:val="004618F1"/>
    <w:rsid w:val="004638FE"/>
    <w:rsid w:val="004A472A"/>
    <w:rsid w:val="004C784D"/>
    <w:rsid w:val="004E39D8"/>
    <w:rsid w:val="004F4F5F"/>
    <w:rsid w:val="00503B51"/>
    <w:rsid w:val="00516AE1"/>
    <w:rsid w:val="00584B71"/>
    <w:rsid w:val="00586D89"/>
    <w:rsid w:val="00595705"/>
    <w:rsid w:val="005B264B"/>
    <w:rsid w:val="005F570E"/>
    <w:rsid w:val="0061099D"/>
    <w:rsid w:val="00632FD6"/>
    <w:rsid w:val="00687338"/>
    <w:rsid w:val="006D6C44"/>
    <w:rsid w:val="006E4867"/>
    <w:rsid w:val="006F17D2"/>
    <w:rsid w:val="006F199F"/>
    <w:rsid w:val="00785F68"/>
    <w:rsid w:val="0079669B"/>
    <w:rsid w:val="00796BE4"/>
    <w:rsid w:val="00797C99"/>
    <w:rsid w:val="007F244B"/>
    <w:rsid w:val="007F38E7"/>
    <w:rsid w:val="00817757"/>
    <w:rsid w:val="008268A2"/>
    <w:rsid w:val="00876FFE"/>
    <w:rsid w:val="00894044"/>
    <w:rsid w:val="008A006F"/>
    <w:rsid w:val="008B4C43"/>
    <w:rsid w:val="008D40E4"/>
    <w:rsid w:val="008E3560"/>
    <w:rsid w:val="0096434B"/>
    <w:rsid w:val="009C21F9"/>
    <w:rsid w:val="009D376E"/>
    <w:rsid w:val="009D54AC"/>
    <w:rsid w:val="009F5C1F"/>
    <w:rsid w:val="00A42A7C"/>
    <w:rsid w:val="00A74FA4"/>
    <w:rsid w:val="00AB1717"/>
    <w:rsid w:val="00AB3AB4"/>
    <w:rsid w:val="00B03077"/>
    <w:rsid w:val="00B31DAD"/>
    <w:rsid w:val="00B56C30"/>
    <w:rsid w:val="00B6122E"/>
    <w:rsid w:val="00BA1607"/>
    <w:rsid w:val="00BD053C"/>
    <w:rsid w:val="00BE014B"/>
    <w:rsid w:val="00BF26E2"/>
    <w:rsid w:val="00BF293B"/>
    <w:rsid w:val="00C35890"/>
    <w:rsid w:val="00C54286"/>
    <w:rsid w:val="00C63F76"/>
    <w:rsid w:val="00CB6F49"/>
    <w:rsid w:val="00D206E3"/>
    <w:rsid w:val="00D224C3"/>
    <w:rsid w:val="00D33B1E"/>
    <w:rsid w:val="00D37EE8"/>
    <w:rsid w:val="00D67E7F"/>
    <w:rsid w:val="00D943DE"/>
    <w:rsid w:val="00D94AD2"/>
    <w:rsid w:val="00DB5599"/>
    <w:rsid w:val="00DC2EE6"/>
    <w:rsid w:val="00DC5405"/>
    <w:rsid w:val="00E36A21"/>
    <w:rsid w:val="00E65F97"/>
    <w:rsid w:val="00E94D46"/>
    <w:rsid w:val="00E9700D"/>
    <w:rsid w:val="00EE4370"/>
    <w:rsid w:val="00EF1353"/>
    <w:rsid w:val="00F15997"/>
    <w:rsid w:val="00F26F7C"/>
    <w:rsid w:val="00F44408"/>
    <w:rsid w:val="00F77957"/>
    <w:rsid w:val="00FB0523"/>
    <w:rsid w:val="00FB1A4B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2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E3560"/>
    <w:pPr>
      <w:keepNext/>
      <w:numPr>
        <w:ilvl w:val="3"/>
        <w:numId w:val="1"/>
      </w:numPr>
      <w:tabs>
        <w:tab w:val="left" w:pos="708"/>
      </w:tabs>
      <w:ind w:right="432"/>
      <w:jc w:val="center"/>
      <w:outlineLvl w:val="3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3560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1">
    <w:name w:val="Основной текст 21"/>
    <w:basedOn w:val="a"/>
    <w:rsid w:val="008E3560"/>
    <w:pPr>
      <w:keepNext/>
      <w:tabs>
        <w:tab w:val="left" w:pos="708"/>
      </w:tabs>
    </w:pPr>
    <w:rPr>
      <w:sz w:val="22"/>
      <w:szCs w:val="22"/>
    </w:rPr>
  </w:style>
  <w:style w:type="character" w:styleId="a3">
    <w:name w:val="Emphasis"/>
    <w:uiPriority w:val="20"/>
    <w:qFormat/>
    <w:rsid w:val="00F7795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A2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27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A2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A22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rsid w:val="001A2273"/>
    <w:pPr>
      <w:ind w:left="-720" w:firstLine="709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1A22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A2273"/>
    <w:pPr>
      <w:widowControl w:val="0"/>
      <w:shd w:val="clear" w:color="auto" w:fill="FFFFFF"/>
      <w:tabs>
        <w:tab w:val="left" w:pos="0"/>
      </w:tabs>
      <w:autoSpaceDE w:val="0"/>
      <w:ind w:left="-720"/>
      <w:jc w:val="center"/>
    </w:pPr>
    <w:rPr>
      <w:b/>
    </w:rPr>
  </w:style>
  <w:style w:type="paragraph" w:customStyle="1" w:styleId="1">
    <w:name w:val="Знак1"/>
    <w:basedOn w:val="a"/>
    <w:rsid w:val="005F570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Без интервала1"/>
    <w:rsid w:val="0014393A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2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E3560"/>
    <w:pPr>
      <w:keepNext/>
      <w:numPr>
        <w:ilvl w:val="3"/>
        <w:numId w:val="1"/>
      </w:numPr>
      <w:tabs>
        <w:tab w:val="left" w:pos="708"/>
      </w:tabs>
      <w:ind w:right="432"/>
      <w:jc w:val="center"/>
      <w:outlineLvl w:val="3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3560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1">
    <w:name w:val="Основной текст 21"/>
    <w:basedOn w:val="a"/>
    <w:rsid w:val="008E3560"/>
    <w:pPr>
      <w:keepNext/>
      <w:tabs>
        <w:tab w:val="left" w:pos="708"/>
      </w:tabs>
    </w:pPr>
    <w:rPr>
      <w:sz w:val="22"/>
      <w:szCs w:val="22"/>
    </w:rPr>
  </w:style>
  <w:style w:type="character" w:styleId="a3">
    <w:name w:val="Emphasis"/>
    <w:uiPriority w:val="20"/>
    <w:qFormat/>
    <w:rsid w:val="00F7795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A2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27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A2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A22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rsid w:val="001A2273"/>
    <w:pPr>
      <w:ind w:left="-720" w:firstLine="709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1A22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A2273"/>
    <w:pPr>
      <w:widowControl w:val="0"/>
      <w:shd w:val="clear" w:color="auto" w:fill="FFFFFF"/>
      <w:tabs>
        <w:tab w:val="left" w:pos="0"/>
      </w:tabs>
      <w:autoSpaceDE w:val="0"/>
      <w:ind w:left="-720"/>
      <w:jc w:val="center"/>
    </w:pPr>
    <w:rPr>
      <w:b/>
    </w:rPr>
  </w:style>
  <w:style w:type="paragraph" w:customStyle="1" w:styleId="1">
    <w:name w:val="Знак1"/>
    <w:basedOn w:val="a"/>
    <w:rsid w:val="005F570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Без интервала1"/>
    <w:rsid w:val="0014393A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AA3A-6E6E-4D0B-9067-2395DC26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Власюк Наталья Валерьевна</dc:creator>
  <cp:lastModifiedBy>Шемякина Елизавета Игоревна</cp:lastModifiedBy>
  <cp:revision>73</cp:revision>
  <cp:lastPrinted>2019-04-19T14:11:00Z</cp:lastPrinted>
  <dcterms:created xsi:type="dcterms:W3CDTF">2016-07-27T05:10:00Z</dcterms:created>
  <dcterms:modified xsi:type="dcterms:W3CDTF">2021-10-06T04:42:00Z</dcterms:modified>
</cp:coreProperties>
</file>