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24" w:rsidRDefault="00BE0024" w:rsidP="00BE00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:rsidR="00BE0024" w:rsidRDefault="00BD76E0" w:rsidP="00BE00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="00BE0024">
        <w:rPr>
          <w:rFonts w:ascii="Times New Roman" w:hAnsi="Times New Roman" w:cs="Times New Roman"/>
          <w:b/>
          <w:bCs/>
        </w:rPr>
        <w:t>поставк</w:t>
      </w:r>
      <w:r>
        <w:rPr>
          <w:rFonts w:ascii="Times New Roman" w:hAnsi="Times New Roman" w:cs="Times New Roman"/>
          <w:b/>
          <w:bCs/>
        </w:rPr>
        <w:t>у</w:t>
      </w:r>
      <w:r w:rsidR="00BE0024">
        <w:rPr>
          <w:rFonts w:ascii="Times New Roman" w:hAnsi="Times New Roman" w:cs="Times New Roman"/>
          <w:b/>
          <w:bCs/>
        </w:rPr>
        <w:t xml:space="preserve">  подгузников детских для обеспе</w:t>
      </w:r>
      <w:r>
        <w:rPr>
          <w:rFonts w:ascii="Times New Roman" w:hAnsi="Times New Roman" w:cs="Times New Roman"/>
          <w:b/>
          <w:bCs/>
        </w:rPr>
        <w:t>чения ими инвалидов в 2021 году.</w:t>
      </w:r>
    </w:p>
    <w:p w:rsidR="00BE0024" w:rsidRDefault="00BE0024" w:rsidP="00BE0024">
      <w:pPr>
        <w:ind w:left="-15" w:hanging="360"/>
        <w:jc w:val="both"/>
        <w:rPr>
          <w:rFonts w:ascii="Times New Roman" w:hAnsi="Times New Roman" w:cs="Times New Roman"/>
        </w:rPr>
      </w:pPr>
    </w:p>
    <w:p w:rsidR="00BE0024" w:rsidRDefault="00BE0024" w:rsidP="00BD76E0">
      <w:pPr>
        <w:tabs>
          <w:tab w:val="left" w:pos="-284"/>
        </w:tabs>
        <w:ind w:left="-284"/>
        <w:jc w:val="both"/>
        <w:rPr>
          <w:rStyle w:val="3"/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b/>
          <w:bCs/>
        </w:rPr>
        <w:t>Предмет:</w:t>
      </w:r>
      <w:r>
        <w:rPr>
          <w:rStyle w:val="3"/>
          <w:rFonts w:ascii="Times New Roman" w:hAnsi="Times New Roman" w:cs="Times New Roman"/>
        </w:rPr>
        <w:t xml:space="preserve">  поставка подгузников детских для обеспечения ими инвалидов в 2021 году.</w:t>
      </w:r>
    </w:p>
    <w:p w:rsidR="00BD76E0" w:rsidRDefault="00BD76E0" w:rsidP="00BD76E0">
      <w:pPr>
        <w:tabs>
          <w:tab w:val="left" w:pos="-284"/>
        </w:tabs>
        <w:ind w:left="-284"/>
        <w:jc w:val="both"/>
        <w:rPr>
          <w:rStyle w:val="3"/>
          <w:rFonts w:ascii="Times New Roman" w:hAnsi="Times New Roman" w:cs="Times New Roman"/>
        </w:rPr>
      </w:pPr>
    </w:p>
    <w:p w:rsidR="00BE0024" w:rsidRDefault="00BE0024" w:rsidP="00BD76E0">
      <w:pPr>
        <w:tabs>
          <w:tab w:val="left" w:pos="-284"/>
        </w:tabs>
        <w:ind w:left="-284"/>
        <w:jc w:val="both"/>
        <w:rPr>
          <w:rStyle w:val="3"/>
          <w:rFonts w:ascii="Times New Roman" w:hAnsi="Times New Roman" w:cs="Times New Roman"/>
        </w:rPr>
      </w:pPr>
      <w:proofErr w:type="gramStart"/>
      <w:r>
        <w:rPr>
          <w:rStyle w:val="3"/>
          <w:rFonts w:ascii="Times New Roman" w:hAnsi="Times New Roman" w:cs="Times New Roman"/>
          <w:b/>
          <w:bCs/>
        </w:rPr>
        <w:t xml:space="preserve">Место поставки товара: </w:t>
      </w:r>
      <w:r>
        <w:rPr>
          <w:rStyle w:val="3"/>
          <w:rFonts w:ascii="Times New Roman" w:hAnsi="Times New Roman" w:cs="Times New Roman"/>
        </w:rPr>
        <w:t>г. Астрахань и Астраханская область (доставить товар до Получателя или осуществить передачу Товара Получателю через пункт выдачи Товара.</w:t>
      </w:r>
      <w:proofErr w:type="gramEnd"/>
      <w:r>
        <w:rPr>
          <w:rStyle w:val="3"/>
          <w:rFonts w:ascii="Times New Roman" w:hAnsi="Times New Roman" w:cs="Times New Roman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</w:rPr>
        <w:t xml:space="preserve">В случае выбора Получателем способа получения Товара через пункт выдачи Товара: обеспечить передачу Товара Получателям в стационарных пунктах выдачи, организованных в соответствии с </w:t>
      </w:r>
      <w:hyperlink r:id="rId5" w:history="1">
        <w:r>
          <w:rPr>
            <w:rStyle w:val="a3"/>
            <w:rFonts w:ascii="Times New Roman" w:hAnsi="Times New Roman" w:cs="Times New Roman"/>
          </w:rPr>
          <w:t>приказом</w:t>
        </w:r>
      </w:hyperlink>
      <w:r>
        <w:rPr>
          <w:rStyle w:val="3"/>
          <w:rFonts w:ascii="Times New Roman" w:hAnsi="Times New Roman" w:cs="Times New Roman"/>
        </w:rPr>
        <w:t xml:space="preserve"> Министерства труда и социальной защиты Российской Федерации от 30.07.2015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</w:t>
      </w:r>
      <w:proofErr w:type="gramEnd"/>
      <w:r>
        <w:rPr>
          <w:rStyle w:val="3"/>
          <w:rFonts w:ascii="Times New Roman" w:hAnsi="Times New Roman" w:cs="Times New Roman"/>
        </w:rPr>
        <w:t xml:space="preserve"> необходимой помощи", в том числе с привлечением соисполнителей; установить график работы пунктов выдачи Товара, включая работу в один из выходных дней. </w:t>
      </w:r>
      <w:proofErr w:type="gramStart"/>
      <w:r>
        <w:rPr>
          <w:rStyle w:val="3"/>
          <w:rFonts w:ascii="Times New Roman" w:hAnsi="Times New Roman" w:cs="Times New Roman"/>
        </w:rPr>
        <w:t>Пункты выдачи Товара и склад Поставщика должны быть оснащены видеокамерами).</w:t>
      </w:r>
      <w:proofErr w:type="gramEnd"/>
    </w:p>
    <w:p w:rsidR="00BD76E0" w:rsidRDefault="00BD76E0" w:rsidP="00BD76E0">
      <w:pPr>
        <w:tabs>
          <w:tab w:val="left" w:pos="-284"/>
        </w:tabs>
        <w:ind w:left="-284"/>
        <w:jc w:val="both"/>
        <w:rPr>
          <w:rStyle w:val="3"/>
          <w:rFonts w:ascii="Times New Roman" w:hAnsi="Times New Roman" w:cs="Times New Roman"/>
        </w:rPr>
      </w:pPr>
    </w:p>
    <w:p w:rsidR="00BE0024" w:rsidRDefault="00BE0024" w:rsidP="00BD76E0">
      <w:pPr>
        <w:tabs>
          <w:tab w:val="left" w:pos="-284"/>
        </w:tabs>
        <w:ind w:left="-284" w:hanging="30"/>
        <w:jc w:val="both"/>
        <w:rPr>
          <w:rStyle w:val="3"/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b/>
          <w:bCs/>
        </w:rPr>
        <w:t xml:space="preserve">Период поставки товара: </w:t>
      </w:r>
      <w:r>
        <w:rPr>
          <w:rStyle w:val="3"/>
          <w:rFonts w:ascii="Times New Roman" w:hAnsi="Times New Roman" w:cs="Times New Roman"/>
          <w:bCs/>
        </w:rPr>
        <w:t>д</w:t>
      </w:r>
      <w:r>
        <w:rPr>
          <w:rStyle w:val="3"/>
          <w:rFonts w:ascii="Times New Roman" w:hAnsi="Times New Roman" w:cs="Times New Roman"/>
        </w:rPr>
        <w:t>о 30.11.2021г.</w:t>
      </w:r>
    </w:p>
    <w:p w:rsidR="00BE0024" w:rsidRDefault="00BE0024" w:rsidP="00BD76E0">
      <w:pPr>
        <w:tabs>
          <w:tab w:val="left" w:pos="-284"/>
        </w:tabs>
        <w:ind w:left="-284" w:hanging="30"/>
        <w:jc w:val="both"/>
        <w:rPr>
          <w:rStyle w:val="3"/>
          <w:rFonts w:ascii="Times New Roman" w:hAnsi="Times New Roman" w:cs="Times New Roman"/>
          <w:bCs/>
        </w:rPr>
      </w:pPr>
      <w:r>
        <w:rPr>
          <w:rStyle w:val="3"/>
          <w:rFonts w:ascii="Times New Roman" w:hAnsi="Times New Roman" w:cs="Times New Roman"/>
          <w:b/>
          <w:bCs/>
        </w:rPr>
        <w:t xml:space="preserve">Срок действия контракта: </w:t>
      </w:r>
      <w:r>
        <w:rPr>
          <w:rStyle w:val="3"/>
          <w:rFonts w:ascii="Times New Roman" w:hAnsi="Times New Roman" w:cs="Times New Roman"/>
          <w:bCs/>
        </w:rPr>
        <w:t>до 15.12.2021 г.</w:t>
      </w:r>
    </w:p>
    <w:p w:rsidR="00BD76E0" w:rsidRDefault="00BD76E0" w:rsidP="00BD76E0">
      <w:pPr>
        <w:tabs>
          <w:tab w:val="left" w:pos="-284"/>
        </w:tabs>
        <w:ind w:left="-284" w:hanging="30"/>
        <w:jc w:val="both"/>
        <w:rPr>
          <w:rStyle w:val="3"/>
          <w:rFonts w:ascii="Times New Roman" w:hAnsi="Times New Roman" w:cs="Times New Roman"/>
        </w:rPr>
      </w:pPr>
    </w:p>
    <w:p w:rsidR="00BE0024" w:rsidRDefault="00BE0024" w:rsidP="00BD76E0">
      <w:pPr>
        <w:tabs>
          <w:tab w:val="left" w:pos="-284"/>
        </w:tabs>
        <w:ind w:left="-284"/>
        <w:jc w:val="both"/>
        <w:rPr>
          <w:rStyle w:val="3"/>
          <w:rFonts w:ascii="Times New Roman" w:eastAsia="Times New Roman" w:hAnsi="Times New Roman" w:cs="Times New Roman"/>
          <w:color w:val="000000"/>
        </w:rPr>
      </w:pPr>
      <w:r>
        <w:rPr>
          <w:rStyle w:val="3"/>
          <w:rFonts w:ascii="Times New Roman" w:hAnsi="Times New Roman" w:cs="Times New Roman"/>
          <w:b/>
          <w:bCs/>
          <w:color w:val="000000"/>
        </w:rPr>
        <w:t xml:space="preserve">Порядок оплаты: </w:t>
      </w:r>
      <w:r>
        <w:rPr>
          <w:rStyle w:val="3"/>
          <w:rFonts w:ascii="Times New Roman" w:eastAsia="Times New Roman" w:hAnsi="Times New Roman" w:cs="Times New Roman"/>
          <w:color w:val="000000"/>
        </w:rPr>
        <w:t>Оплата производится  после получения Заказчиком  Актов приема-передачи Товара и Реестров Получателей, счета, счета-фактуры. После произведенных расчетов стороны подписывают акт сверки взаиморасчетов.</w:t>
      </w:r>
    </w:p>
    <w:p w:rsidR="00BD76E0" w:rsidRDefault="00BD76E0" w:rsidP="00BD76E0">
      <w:pPr>
        <w:pStyle w:val="Standard"/>
        <w:tabs>
          <w:tab w:val="left" w:pos="-284"/>
          <w:tab w:val="left" w:pos="-109"/>
        </w:tabs>
        <w:ind w:left="-284"/>
        <w:jc w:val="both"/>
        <w:rPr>
          <w:rStyle w:val="3"/>
          <w:rFonts w:ascii="Times New Roman" w:hAnsi="Times New Roman" w:cs="Times New Roman"/>
          <w:b/>
          <w:bCs/>
        </w:rPr>
      </w:pPr>
    </w:p>
    <w:p w:rsidR="00BE0024" w:rsidRDefault="00BE0024" w:rsidP="00BD76E0">
      <w:pPr>
        <w:pStyle w:val="Standard"/>
        <w:tabs>
          <w:tab w:val="left" w:pos="-284"/>
          <w:tab w:val="left" w:pos="-109"/>
        </w:tabs>
        <w:ind w:left="-284"/>
        <w:jc w:val="both"/>
        <w:rPr>
          <w:rStyle w:val="3"/>
        </w:rPr>
      </w:pPr>
      <w:r>
        <w:rPr>
          <w:rStyle w:val="3"/>
          <w:rFonts w:ascii="Times New Roman" w:hAnsi="Times New Roman" w:cs="Times New Roman"/>
          <w:b/>
          <w:bCs/>
        </w:rPr>
        <w:t>Описание товара (услуги, работы): «Поставка подгузников детских для обеспечения ими инвалидов в 2021 году».</w:t>
      </w:r>
    </w:p>
    <w:p w:rsidR="00BE0024" w:rsidRDefault="00BE0024" w:rsidP="00BE0024">
      <w:pPr>
        <w:jc w:val="both"/>
        <w:rPr>
          <w:b/>
          <w:bCs/>
        </w:rPr>
      </w:pPr>
    </w:p>
    <w:p w:rsidR="00BE0024" w:rsidRDefault="00BE0024" w:rsidP="00BD76E0">
      <w:pPr>
        <w:rPr>
          <w:rStyle w:val="3"/>
          <w:color w:val="000000"/>
          <w:shd w:val="clear" w:color="auto" w:fill="FFFFFF"/>
        </w:rPr>
      </w:pPr>
      <w:r>
        <w:rPr>
          <w:rStyle w:val="3"/>
          <w:rFonts w:ascii="Times New Roman" w:hAnsi="Times New Roman" w:cs="Times New Roman"/>
          <w:b/>
          <w:bCs/>
          <w:color w:val="000000"/>
          <w:shd w:val="clear" w:color="auto" w:fill="FFFFFF"/>
        </w:rPr>
        <w:t>Кол-во -  258 000 штук</w:t>
      </w:r>
      <w:r w:rsidR="00BD76E0">
        <w:rPr>
          <w:rStyle w:val="3"/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>
        <w:rPr>
          <w:rStyle w:val="3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</w:t>
      </w:r>
    </w:p>
    <w:p w:rsidR="00BE0024" w:rsidRDefault="00BE0024" w:rsidP="00BD76E0">
      <w:pPr>
        <w:ind w:left="-284"/>
        <w:jc w:val="both"/>
        <w:rPr>
          <w:rStyle w:val="3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0" w:type="auto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5"/>
        <w:gridCol w:w="7727"/>
      </w:tblGrid>
      <w:tr w:rsidR="00BE0024" w:rsidTr="00BD76E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024" w:rsidRDefault="00BE002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E0024" w:rsidRDefault="00BE002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функциональных и технических характеристик</w:t>
            </w:r>
          </w:p>
        </w:tc>
      </w:tr>
      <w:tr w:rsidR="00BE0024" w:rsidTr="00BD76E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24" w:rsidRDefault="00BE0024">
            <w:pPr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Подгузники детские</w:t>
            </w:r>
          </w:p>
          <w:p w:rsidR="00BE0024" w:rsidRDefault="00BE0024">
            <w:pPr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0024" w:rsidRDefault="00BE0024">
            <w:pPr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17.22.12.120</w:t>
            </w:r>
          </w:p>
          <w:p w:rsidR="00BE0024" w:rsidRDefault="00BE0024">
            <w:pPr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0024" w:rsidRDefault="00BE0024" w:rsidP="00BD76E0">
            <w:pPr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E0024" w:rsidRDefault="00BE0024">
            <w:pPr>
              <w:autoSpaceDE w:val="0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Абсорбирующее белье, подгузники для детей весом до 9 кг, подгузники для детей весом до 20 кг, подгузники для детей весом свыше 20 кг.</w:t>
            </w:r>
          </w:p>
          <w:p w:rsidR="00BE0024" w:rsidRDefault="00BE00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(бумажный) подгузник - многослойное санитарно-гигиеническое изделие разового использования, предназначенное для ухода за детьми.</w:t>
            </w:r>
          </w:p>
          <w:p w:rsidR="00BE0024" w:rsidRDefault="00BE0024">
            <w:pPr>
              <w:pStyle w:val="a4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конструкции подгузников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подгузников должна включать (начиная со слоя, контактирующего с кожей ребенка):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0" w:name="bookmark46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верхний покровный слой;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1" w:name="bookmark47"/>
            <w:bookmarkEnd w:id="1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распределительный слой;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2" w:name="bookmark48"/>
            <w:bookmarkEnd w:id="2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абсорбирующий слой;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3" w:name="bookmark49"/>
            <w:bookmarkEnd w:id="3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защитный слой: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4" w:name="bookmark50"/>
            <w:bookmarkEnd w:id="4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нижний покровный слой;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5" w:name="bookmark51"/>
            <w:bookmarkEnd w:id="5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боковые дугообразные оборки с двух сторон подгузника, стянутые резинками;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6" w:name="bookmark52"/>
            <w:bookmarkEnd w:id="6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застежк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«липучки»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BE0024" w:rsidRDefault="00BE0024">
            <w:pPr>
              <w:pStyle w:val="a4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</w:t>
            </w:r>
            <w:r>
              <w:rPr>
                <w:rFonts w:ascii="Times New Roman" w:hAnsi="Times New Roman" w:cs="Times New Roman"/>
              </w:rPr>
              <w:lastRenderedPageBreak/>
              <w:t>утвержденным элементом дизайна, посторонние включения, влияющие на функциональные свойства и внешний вид.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>
              <w:rPr>
                <w:rFonts w:ascii="Times New Roman" w:hAnsi="Times New Roman" w:cs="Times New Roman"/>
              </w:rPr>
              <w:t>выщипывания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волокон с поверхности подгузника и </w:t>
            </w:r>
            <w:proofErr w:type="spellStart"/>
            <w:r>
              <w:rPr>
                <w:rFonts w:ascii="Times New Roman" w:hAnsi="Times New Roman" w:cs="Times New Roman"/>
              </w:rPr>
              <w:t>отмарывание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краски.</w:t>
            </w:r>
          </w:p>
          <w:p w:rsidR="00BE0024" w:rsidRDefault="00BE0024">
            <w:pPr>
              <w:pStyle w:val="a4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изготовления подгузников должны применяться следующие материалы: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7" w:name="bookmark60"/>
            <w:bookmarkEnd w:id="7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</w:t>
            </w:r>
            <w:r>
              <w:rPr>
                <w:rFonts w:ascii="Times New Roman" w:hAnsi="Times New Roman" w:cs="Times New Roman"/>
              </w:rPr>
              <w:br/>
              <w:t>требованиями настоящего стандарта;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распределительного слоя: нетканый материал или бумагу бытового и санитарно-гигиенического назначения из целлюлозы и древесной массы по нормативным документам или технической                                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абсорбирующего слоя: распушенную целлюлозу или волокна других материалов синтетического или природного происхождения. Для повышения впитывающей способности в состав абсорбирующего</w:t>
            </w:r>
            <w:r>
              <w:rPr>
                <w:rFonts w:ascii="Times New Roman" w:hAnsi="Times New Roman" w:cs="Times New Roman"/>
              </w:rPr>
              <w:br/>
              <w:t>слоя могут входить супер абсорбенты;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  <w:p w:rsidR="00BE0024" w:rsidRDefault="00BE00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BE0024" w:rsidRDefault="00BE0024">
            <w:pPr>
              <w:pStyle w:val="a4"/>
              <w:autoSpaceDE w:val="0"/>
              <w:snapToGrid w:val="0"/>
              <w:spacing w:after="0"/>
              <w:rPr>
                <w:rStyle w:val="3"/>
              </w:rPr>
            </w:pPr>
            <w:r>
              <w:rPr>
                <w:rStyle w:val="3"/>
                <w:rFonts w:ascii="Times New Roman" w:hAnsi="Times New Roman" w:cs="Times New Roman"/>
              </w:rPr>
              <w:t xml:space="preserve">Маркировка должна быть достоверной, проверяемой и читаемой. Маркировку наносят непосредственно на упаковку, или на этикетку, или ярлык, </w:t>
            </w:r>
            <w:proofErr w:type="gramStart"/>
            <w:r>
              <w:rPr>
                <w:rStyle w:val="3"/>
                <w:rFonts w:ascii="Times New Roman" w:hAnsi="Times New Roman" w:cs="Times New Roman"/>
              </w:rPr>
              <w:t>прикрепляемые</w:t>
            </w:r>
            <w:proofErr w:type="gramEnd"/>
            <w:r>
              <w:rPr>
                <w:rStyle w:val="3"/>
                <w:rFonts w:ascii="Times New Roman" w:hAnsi="Times New Roman" w:cs="Times New Roman"/>
              </w:rPr>
              <w:t xml:space="preserve">, или прилагаемые к упаковке, или вкладываемые в упаковку. Маркировку наносят любым способом (печатью, тиснением, штампом) по усмотрению изготовителя. При использовании печатного способа нанесения маркировки </w:t>
            </w:r>
            <w:proofErr w:type="spellStart"/>
            <w:r>
              <w:rPr>
                <w:rStyle w:val="3"/>
                <w:rFonts w:ascii="Times New Roman" w:hAnsi="Times New Roman" w:cs="Times New Roman"/>
              </w:rPr>
              <w:t>отмарывание</w:t>
            </w:r>
            <w:proofErr w:type="spellEnd"/>
            <w:r>
              <w:rPr>
                <w:rStyle w:val="3"/>
                <w:rFonts w:ascii="Times New Roman" w:hAnsi="Times New Roman" w:cs="Times New Roman"/>
              </w:rPr>
              <w:t xml:space="preserve"> краски не допускается.</w:t>
            </w:r>
          </w:p>
          <w:p w:rsidR="00BE0024" w:rsidRDefault="00BE0024">
            <w:pPr>
              <w:pStyle w:val="a4"/>
              <w:spacing w:after="0"/>
            </w:pPr>
            <w:r>
              <w:rPr>
                <w:rFonts w:ascii="Times New Roman" w:hAnsi="Times New Roman" w:cs="Times New Roman"/>
              </w:rPr>
              <w:t>В маркировку должна быть включена инструкция с указанием рекомендаций по правильному выбору вида и размера изделия (в виде надписей, цифровых или графических обозначений): диапазон</w:t>
            </w:r>
            <w:r>
              <w:rPr>
                <w:rFonts w:ascii="Times New Roman" w:hAnsi="Times New Roman" w:cs="Times New Roman"/>
              </w:rPr>
              <w:br/>
              <w:t>массы ребенка или возрастной группы (рекомендованные изготовителем) и (или) номер подгузника.</w:t>
            </w:r>
            <w:r>
              <w:rPr>
                <w:rFonts w:ascii="Times New Roman" w:hAnsi="Times New Roman" w:cs="Times New Roman"/>
              </w:rPr>
              <w:br/>
              <w:t>Маркировка также должна содержать следующую информацию о подгузниках: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8" w:name="bookmark71"/>
            <w:bookmarkEnd w:id="8"/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</w:rPr>
              <w:t>технического исполнения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подгузника (например, трусики, подгузник для плавания и др.) (при необходимости):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9" w:name="bookmark72"/>
            <w:bookmarkEnd w:id="9"/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количество подгузников в упаковке;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10" w:name="bookmark73"/>
            <w:bookmarkEnd w:id="10"/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срок годности в формате: дата изготовления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год) и срок годности (мес. лет), или надпись «годен до» (мес. г.) или «использовать до» (мес. г.). Фраза «дата изготовления» в маркировке подгузников может быть заменена фразой «дата производства» или аналогичными по смыслу словами. Слова «</w:t>
            </w:r>
            <w:proofErr w:type="gramStart"/>
            <w:r>
              <w:rPr>
                <w:rFonts w:ascii="Times New Roman" w:hAnsi="Times New Roman" w:cs="Times New Roman"/>
              </w:rPr>
              <w:t>годен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до», «использовать до» в маркировке подгузников могут быть заменены словами «употребить до» или аналогичными по смыслу словами;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11" w:name="bookmark74"/>
            <w:bookmarkEnd w:id="11"/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штриховой код изделия (при наличии);</w:t>
            </w:r>
          </w:p>
          <w:p w:rsidR="00BE0024" w:rsidRDefault="00BE0024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bookmarkStart w:id="12" w:name="bookmark75"/>
            <w:bookmarkEnd w:id="12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указание по утилизации в виде надписей или графических изображений (например.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«Не бросать в канализацию»).</w:t>
            </w:r>
            <w:proofErr w:type="gramEnd"/>
          </w:p>
          <w:p w:rsidR="00BE0024" w:rsidRDefault="00BE0024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BE0024" w:rsidRDefault="00BE0024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Подгузники по несколько штук упаковывают в пакеты из полимерной </w:t>
            </w:r>
            <w:r>
              <w:rPr>
                <w:rFonts w:ascii="Times New Roman" w:hAnsi="Times New Roman" w:cs="Times New Roman"/>
              </w:rPr>
              <w:lastRenderedPageBreak/>
              <w:t>пленки или пачки, или коробки по ГОСТ 33781-2016,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      </w:r>
          </w:p>
          <w:p w:rsidR="00BE0024" w:rsidRDefault="00BE0024">
            <w:pPr>
              <w:keepNext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</w:t>
            </w:r>
          </w:p>
          <w:p w:rsidR="00BE0024" w:rsidRDefault="00BE0024">
            <w:pPr>
              <w:autoSpaceDE w:val="0"/>
              <w:snapToGrid w:val="0"/>
              <w:ind w:left="5" w:right="5" w:firstLine="15"/>
              <w:rPr>
                <w:rStyle w:val="3"/>
                <w:u w:val="single"/>
              </w:rPr>
            </w:pPr>
            <w:r>
              <w:rPr>
                <w:rStyle w:val="3"/>
                <w:rFonts w:ascii="Times New Roman" w:hAnsi="Times New Roman" w:cs="Times New Roman"/>
                <w:u w:val="single"/>
              </w:rPr>
              <w:t>Количество поставляемой продукции:</w:t>
            </w:r>
          </w:p>
          <w:p w:rsidR="00BE0024" w:rsidRDefault="00BE0024">
            <w:pPr>
              <w:autoSpaceDE w:val="0"/>
              <w:snapToGrid w:val="0"/>
              <w:ind w:right="5"/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Подгузники для</w:t>
            </w:r>
            <w:r w:rsidR="00BD76E0"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детей-инвалидов весом до 9 кг </w:t>
            </w: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– 4000 шт.</w:t>
            </w:r>
          </w:p>
          <w:p w:rsidR="00BE0024" w:rsidRDefault="00BE0024">
            <w:pPr>
              <w:autoSpaceDE w:val="0"/>
              <w:snapToGrid w:val="0"/>
              <w:ind w:right="5"/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Подгузники для детей-инвалидов весом свыше 20 кг– 120 000 шт.</w:t>
            </w:r>
          </w:p>
          <w:p w:rsidR="00BE0024" w:rsidRDefault="00BE0024">
            <w:pPr>
              <w:autoSpaceDE w:val="0"/>
              <w:snapToGrid w:val="0"/>
              <w:ind w:right="5"/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Подгузники для детей-инвалидов весом до 20 кг– 134 000 шт.</w:t>
            </w:r>
          </w:p>
          <w:p w:rsidR="00BE0024" w:rsidRDefault="00BE0024">
            <w:pPr>
              <w:autoSpaceDE w:val="0"/>
              <w:snapToGrid w:val="0"/>
              <w:ind w:right="5"/>
              <w:rPr>
                <w:rStyle w:val="3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Всего – 258 000 шт.</w:t>
            </w:r>
          </w:p>
        </w:tc>
      </w:tr>
    </w:tbl>
    <w:p w:rsidR="00BE0024" w:rsidRDefault="00BE0024" w:rsidP="00BE002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024" w:rsidRDefault="00BE0024" w:rsidP="00BE0024">
      <w:pPr>
        <w:jc w:val="both"/>
        <w:rPr>
          <w:rStyle w:val="3"/>
          <w:rFonts w:ascii="Times New Roman" w:hAnsi="Times New Roman" w:cs="Times New Roman"/>
          <w:color w:val="000000"/>
        </w:rPr>
      </w:pPr>
      <w:r>
        <w:rPr>
          <w:rStyle w:val="3"/>
          <w:rFonts w:ascii="Times New Roman" w:hAnsi="Times New Roman" w:cs="Times New Roman"/>
          <w:b/>
          <w:bCs/>
        </w:rPr>
        <w:t xml:space="preserve">Требования к качеству поставки: </w:t>
      </w:r>
      <w:r>
        <w:rPr>
          <w:rStyle w:val="3"/>
          <w:rFonts w:ascii="Times New Roman" w:hAnsi="Times New Roman" w:cs="Times New Roman"/>
        </w:rPr>
        <w:t>п</w:t>
      </w:r>
      <w:r>
        <w:rPr>
          <w:rStyle w:val="3"/>
          <w:rFonts w:ascii="Times New Roman" w:hAnsi="Times New Roman" w:cs="Times New Roman"/>
          <w:color w:val="000000"/>
        </w:rPr>
        <w:t>оставщик гарантирует, что Товар, поставляемый в рамках Контракта, является новым,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E0024" w:rsidRDefault="00BE0024" w:rsidP="00BE0024">
      <w:pPr>
        <w:jc w:val="both"/>
      </w:pPr>
      <w:r>
        <w:rPr>
          <w:rStyle w:val="3"/>
          <w:rFonts w:ascii="Times New Roman" w:hAnsi="Times New Roman" w:cs="Times New Roman"/>
          <w:b/>
          <w:bCs/>
          <w:color w:val="000000"/>
        </w:rPr>
        <w:t>Требования к безопасности товара:</w:t>
      </w:r>
      <w:r>
        <w:rPr>
          <w:rStyle w:val="3"/>
          <w:rFonts w:ascii="Times New Roman" w:hAnsi="Times New Roman" w:cs="Times New Roman"/>
          <w:color w:val="000000"/>
        </w:rPr>
        <w:t xml:space="preserve"> регистрационное</w:t>
      </w:r>
      <w:r>
        <w:rPr>
          <w:rFonts w:ascii="Times New Roman" w:hAnsi="Times New Roman" w:cs="Times New Roman"/>
        </w:rPr>
        <w:t xml:space="preserve"> удостоверение и (или) действующая декларация о соответствии или сертификат соответствия поставляемого Товара, либо иные документы, свидетельствующие о качестве и безопасности Товара, в случае, если на поставляемый товар в соответствии с законодательством Российской Федерации необходимо наличие указанных документов.</w:t>
      </w:r>
    </w:p>
    <w:p w:rsidR="00BE0024" w:rsidRDefault="00BE0024" w:rsidP="00BE0024">
      <w:pPr>
        <w:pStyle w:val="a4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ГОСТ ISO 10993-1-2011 - Изделия медицинские. Оценка биологического действия медицинских изделий. Часть 1. Оценка и исследования</w:t>
      </w:r>
    </w:p>
    <w:p w:rsidR="00BE0024" w:rsidRDefault="00BE0024" w:rsidP="00BE0024">
      <w:pPr>
        <w:pStyle w:val="a4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ascii="Times New Roman" w:hAnsi="Times New Roman" w:cs="Times New Roman"/>
          <w:color w:val="000000"/>
        </w:rPr>
        <w:t>цитотоксичность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: методы </w:t>
      </w:r>
      <w:proofErr w:type="spellStart"/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vitro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E0024" w:rsidRDefault="00BE0024" w:rsidP="00BE0024">
      <w:pPr>
        <w:pStyle w:val="a4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BE0024" w:rsidRDefault="00BE0024" w:rsidP="00BE0024">
      <w:pPr>
        <w:pStyle w:val="a4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ГОСТ 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52770-20</w:t>
      </w:r>
      <w:r w:rsidR="00941935" w:rsidRPr="000061ED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 xml:space="preserve"> - Изделия медицинские. Требования безопасности. Методы санитарно-химических и токсикологических испытаний.</w:t>
      </w:r>
    </w:p>
    <w:p w:rsidR="00BE0024" w:rsidRDefault="00BE0024" w:rsidP="00BE002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Приказ Минтруда России от 13.02.2018 №86н (в части веса детей).</w:t>
      </w:r>
    </w:p>
    <w:p w:rsidR="00BE0024" w:rsidRDefault="00BE0024" w:rsidP="00BE002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ГОСТ Р</w:t>
      </w:r>
      <w:r w:rsidR="000061ED">
        <w:rPr>
          <w:rFonts w:ascii="Times New Roman" w:hAnsi="Times New Roman" w:cs="Times New Roman"/>
          <w:color w:val="000000"/>
        </w:rPr>
        <w:t xml:space="preserve"> 52557-20</w:t>
      </w:r>
      <w:r w:rsidR="000061ED">
        <w:rPr>
          <w:rFonts w:ascii="Times New Roman" w:hAnsi="Times New Roman" w:cs="Times New Roman"/>
          <w:color w:val="000000"/>
          <w:lang w:val="en-US"/>
        </w:rPr>
        <w:t>11</w:t>
      </w:r>
      <w:bookmarkStart w:id="13" w:name="_GoBack"/>
      <w:bookmarkEnd w:id="13"/>
      <w:r>
        <w:rPr>
          <w:rFonts w:ascii="Times New Roman" w:hAnsi="Times New Roman" w:cs="Times New Roman"/>
          <w:color w:val="000000"/>
        </w:rPr>
        <w:t xml:space="preserve"> — Подгузники детские. Общие технические условия.</w:t>
      </w:r>
    </w:p>
    <w:p w:rsidR="003A07F9" w:rsidRDefault="00BE0024" w:rsidP="00BE0024">
      <w:r>
        <w:rPr>
          <w:rStyle w:val="3"/>
          <w:rFonts w:ascii="Times New Roman" w:hAnsi="Times New Roman" w:cs="Times New Roman"/>
          <w:b/>
          <w:bCs/>
          <w:color w:val="000000"/>
        </w:rPr>
        <w:t xml:space="preserve">Срок годности подгузников - </w:t>
      </w:r>
      <w:r>
        <w:rPr>
          <w:rStyle w:val="3"/>
          <w:rFonts w:ascii="Times New Roman" w:hAnsi="Times New Roman" w:cs="Times New Roman"/>
          <w:color w:val="000000"/>
        </w:rPr>
        <w:t>с момента выдачи изделий должен быть не менее 12 месяцев.</w:t>
      </w:r>
    </w:p>
    <w:sectPr w:rsidR="003A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D"/>
    <w:rsid w:val="000061ED"/>
    <w:rsid w:val="003E684D"/>
    <w:rsid w:val="00941935"/>
    <w:rsid w:val="00AD3773"/>
    <w:rsid w:val="00BD76E0"/>
    <w:rsid w:val="00BE0024"/>
    <w:rsid w:val="00C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24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0024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BE002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0024"/>
    <w:rPr>
      <w:rFonts w:ascii="Arial" w:eastAsia="Lucida Sans Unicode" w:hAnsi="Arial" w:cs="Tahoma"/>
      <w:kern w:val="2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E0024"/>
    <w:pPr>
      <w:suppressLineNumbers/>
    </w:pPr>
  </w:style>
  <w:style w:type="paragraph" w:customStyle="1" w:styleId="Standard">
    <w:name w:val="Standard"/>
    <w:rsid w:val="00BE002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3">
    <w:name w:val="Основной шрифт абзаца3"/>
    <w:rsid w:val="00BE0024"/>
  </w:style>
  <w:style w:type="character" w:customStyle="1" w:styleId="1">
    <w:name w:val="Основной шрифт абзаца1"/>
    <w:rsid w:val="00BE0024"/>
  </w:style>
  <w:style w:type="character" w:customStyle="1" w:styleId="2">
    <w:name w:val="Основной шрифт абзаца2"/>
    <w:rsid w:val="00BE0024"/>
  </w:style>
  <w:style w:type="character" w:customStyle="1" w:styleId="WWCharLFO2LVL6">
    <w:name w:val="WW_CharLFO2LVL6"/>
    <w:rsid w:val="00BE0024"/>
    <w:rPr>
      <w:rFonts w:ascii="OpenSymbol" w:eastAsia="OpenSymbol" w:hAnsi="OpenSymbol" w:cs="Open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24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0024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BE002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0024"/>
    <w:rPr>
      <w:rFonts w:ascii="Arial" w:eastAsia="Lucida Sans Unicode" w:hAnsi="Arial" w:cs="Tahoma"/>
      <w:kern w:val="2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E0024"/>
    <w:pPr>
      <w:suppressLineNumbers/>
    </w:pPr>
  </w:style>
  <w:style w:type="paragraph" w:customStyle="1" w:styleId="Standard">
    <w:name w:val="Standard"/>
    <w:rsid w:val="00BE002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3">
    <w:name w:val="Основной шрифт абзаца3"/>
    <w:rsid w:val="00BE0024"/>
  </w:style>
  <w:style w:type="character" w:customStyle="1" w:styleId="1">
    <w:name w:val="Основной шрифт абзаца1"/>
    <w:rsid w:val="00BE0024"/>
  </w:style>
  <w:style w:type="character" w:customStyle="1" w:styleId="2">
    <w:name w:val="Основной шрифт абзаца2"/>
    <w:rsid w:val="00BE0024"/>
  </w:style>
  <w:style w:type="character" w:customStyle="1" w:styleId="WWCharLFO2LVL6">
    <w:name w:val="WW_CharLFO2LVL6"/>
    <w:rsid w:val="00BE0024"/>
    <w:rPr>
      <w:rFonts w:ascii="OpenSymbol" w:eastAsia="OpenSymbol" w:hAnsi="OpenSymbol" w:cs="Open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8C5A2C7FAE3D80E5EAAA4D447D926F8FFA36A91CBED9BFC668947198C9CCC871B15EAB1D1AE0EC84C4FABFB7J0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Тапикова Виолетта Олеговна</dc:creator>
  <cp:keywords/>
  <dc:description/>
  <cp:lastModifiedBy>Цибизова Екатерина Владимировна</cp:lastModifiedBy>
  <cp:revision>5</cp:revision>
  <dcterms:created xsi:type="dcterms:W3CDTF">2021-09-09T10:39:00Z</dcterms:created>
  <dcterms:modified xsi:type="dcterms:W3CDTF">2021-09-10T05:15:00Z</dcterms:modified>
</cp:coreProperties>
</file>