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93" w:rsidRPr="003A4F8F" w:rsidRDefault="00651B93" w:rsidP="00651B93">
      <w:pPr>
        <w:pStyle w:val="1"/>
        <w:spacing w:before="0" w:after="0"/>
        <w:rPr>
          <w:color w:val="FF0000"/>
          <w:sz w:val="22"/>
          <w:szCs w:val="22"/>
        </w:rPr>
      </w:pPr>
      <w:bookmarkStart w:id="0" w:name="_Toc447719632"/>
      <w:r w:rsidRPr="003A4F8F">
        <w:rPr>
          <w:color w:val="FF0000"/>
          <w:sz w:val="22"/>
          <w:szCs w:val="22"/>
        </w:rPr>
        <w:t>ОПИСАНИЕ ОБЪЕКТА ЗАКУПКИ</w:t>
      </w:r>
      <w:bookmarkEnd w:id="0"/>
    </w:p>
    <w:p w:rsidR="00651B93" w:rsidRPr="004E4D60" w:rsidRDefault="00651B93" w:rsidP="00651B93">
      <w:pPr>
        <w:widowControl w:val="0"/>
        <w:spacing w:after="0"/>
        <w:ind w:right="23"/>
        <w:jc w:val="center"/>
        <w:rPr>
          <w:b/>
          <w:sz w:val="22"/>
          <w:szCs w:val="22"/>
        </w:rPr>
      </w:pPr>
      <w:r w:rsidRPr="004E4D60">
        <w:rPr>
          <w:b/>
          <w:sz w:val="22"/>
          <w:szCs w:val="22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b/>
          <w:sz w:val="22"/>
          <w:szCs w:val="22"/>
        </w:rPr>
      </w:pPr>
      <w:r w:rsidRPr="004E4D60">
        <w:rPr>
          <w:b/>
          <w:sz w:val="22"/>
          <w:szCs w:val="22"/>
        </w:rPr>
        <w:t>Общие технические характеристики выполняемых работ: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10993-1-2011  «Изделия медицинские. Оценка биологического действия медицинских изделий. Часть 1. Оценка и исследования», ГОСТ ISO 10993-5-2011  « Изделия медицинские. Оценка биологического действия медицинских изделий. Часть 5. Исследования на цитоксичность: методы in virto», ГОСТ Р ISO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Узел протеза должен быть стойкими к воздействию физиологических растворов (пота).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Протезы конечностей должны быть классифицированы в соответствии с требованиями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Р 51819-2017 «Протезирование и ортезирование верхних и нижних конечностей. Термины и определения», Национальному стандарту РФ ГОСТ Р ИСО 22523-2007 «Протезы конечностей и ортезы наружные. Требования и методы испытаний»,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b/>
          <w:sz w:val="22"/>
          <w:szCs w:val="22"/>
        </w:rPr>
      </w:pPr>
      <w:r w:rsidRPr="004E4D60">
        <w:rPr>
          <w:b/>
          <w:sz w:val="22"/>
          <w:szCs w:val="22"/>
        </w:rPr>
        <w:t>Требования к техническим и функциональным характеристикам работ: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С учетом уровня ампутации и модулирования, применяемого в протезировании: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- функциональный узел протеза конечности должен выполнять заданную функцию и иметь конструктивно-технологическую завершенность. Узлы должны быть ремонтопригодными или работоспособными в течение срока службы.</w:t>
      </w: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tbl>
      <w:tblPr>
        <w:tblpPr w:leftFromText="180" w:rightFromText="180" w:horzAnchor="margin" w:tblpY="7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793"/>
        <w:gridCol w:w="5757"/>
        <w:gridCol w:w="1189"/>
      </w:tblGrid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 xml:space="preserve">Протез стопы, </w:t>
            </w:r>
          </w:p>
          <w:p w:rsidR="00651B93" w:rsidRPr="00C472E3" w:rsidRDefault="00651B93" w:rsidP="008B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color w:val="000000"/>
                <w:sz w:val="20"/>
                <w:szCs w:val="20"/>
              </w:rPr>
              <w:t>Протез стопы,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культи инвалида). Постоянная гильза из кожи; крепление протеза голени на инвалиде за счет формы приемной гильзы; регулировочно-соединительные устройства на нагрузку до 100 кг;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 лечебно-тренировочный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color w:val="000000"/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лечебно-тренировочный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для купания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 xml:space="preserve">Протез голени для купания, индивидуального изготовления, с обязательной примеркой, а также обучением ходьбе на нем; гильза индивидуальная (изготовленная по индивидуальному слепку с культи инвалида). Количество приемных (пробных) гильз: 1; постоянная гильза из литьевого слоистого пластика на основе акриловых смол; крепление протеза голени на инвалиде за счет 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наколенника; регулировочно-соединительные устройства на нагрузку до 100 кг, водостойкие. Стопа бесшарнирная,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обуви; тип протеза по назначению: специальный.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немодульный, индивидуального изготовления, с обязательной примеркой, а также обучением ходьбе на нем; покрытие облицовки - чулки силоновые ортопедические; гильза, изготовленная по типоразмерам, шаблонам. Постоянная гильза из кожи; крепление протеза голени на инвалиде поясное, с использованием кожаных полуфабрикатов; стопа шарнирная полиуретановая, монолитная;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модульный с шинно-кожаным приемником,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 xml:space="preserve">Протез голени модульного типа с приемником из акрилона и замковым устройством и высокофункциональной стопой,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</w:t>
            </w:r>
            <w:r w:rsidRPr="00F6094F">
              <w:rPr>
                <w:sz w:val="20"/>
                <w:szCs w:val="20"/>
              </w:rPr>
              <w:lastRenderedPageBreak/>
              <w:t>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гелевый с высоким уровнем стабилизации; крепление протеза голени на инвалиде с использованием замка для полимерных чехлов; регулировочно-соединительные устройства на нагрузку до 100 кг; стопа высокофункциональная;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lastRenderedPageBreak/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color w:val="000000"/>
                <w:sz w:val="20"/>
                <w:szCs w:val="20"/>
              </w:rPr>
            </w:pPr>
            <w:r w:rsidRPr="00F6094F">
              <w:rPr>
                <w:color w:val="000000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модульный с приемником из акрилона,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материалов; крепление протеза голени на инвалиде поясное, с использованием кожаных полуфабрикатов; регулировочно-соединительные устройства на нагрузку до 120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color w:val="000000"/>
                <w:sz w:val="20"/>
                <w:szCs w:val="20"/>
              </w:rPr>
            </w:pPr>
            <w:r w:rsidRPr="00F6094F">
              <w:rPr>
                <w:color w:val="000000"/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голени модульного типа с приемником из акрилона, 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вкладная гильза из вспененных материалов, чехол полимерный гелевый с высоким уровнем стабилизации; крепление протеза голени на инвалиде с использованием вакуумного клапана или замка для полимерных чехлов; регулировочно-соединительные устройства на нагрузку до 120 кг; стопа с высокой  степенью энергосбережения,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для купания</w:t>
            </w:r>
          </w:p>
          <w:p w:rsidR="00651B93" w:rsidRPr="00F6094F" w:rsidRDefault="00651B93" w:rsidP="008B3E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для купания, индивидуального изготовления, с обязательной примеркой, а также обучением ходьбе на нем, гильза индивидуальная (изготовленная по индивидуальному слепку с культи инвалида). Пробная приемная гильза по слепку из термопласта; постоянная приемная гильза по слепку из литьевого слоистого пластика на основе акриловых смол. Крепление протеза бедра на инвалиде за счет  вакуумного клапана. Стопа бесшарнирная,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с замком, с повышеннойподкосоустойчивостью, водостойкий, тип протеза по назначению: специальный.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 xml:space="preserve">Протез бедра немодульный,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 или кожаная; крепление протеза бедра на инвалиде поясное, с использованием кожаных полуфабрикатов; регулировочно-соединительные устройства на нагрузку до 120 кг; стопа одноосная; коленный шарнир </w:t>
            </w:r>
            <w:r w:rsidRPr="00F6094F">
              <w:rPr>
                <w:sz w:val="20"/>
                <w:szCs w:val="20"/>
              </w:rPr>
              <w:lastRenderedPageBreak/>
              <w:t>полицентрический, с «геометрическим замком»;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lastRenderedPageBreak/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 xml:space="preserve">Протез бедра модульный с приемником из акрилона,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</w:t>
            </w:r>
            <w:r w:rsidRPr="00F6094F">
              <w:rPr>
                <w:color w:val="000000"/>
                <w:sz w:val="20"/>
                <w:szCs w:val="20"/>
              </w:rPr>
              <w:t>крепление протеза бедра на инвалиде индивидуальное; регулировочно-соединительные устройства на нагрузку до 100 кг; стопа со средней степенью энергосбережения; коленный шарнир</w:t>
            </w:r>
            <w:r w:rsidRPr="00F6094F">
              <w:rPr>
                <w:sz w:val="20"/>
                <w:szCs w:val="20"/>
              </w:rPr>
              <w:t xml:space="preserve"> полицентрический, с «геометрическим замком», с зависимым механическим регулированием фаз сгибания-разгибания; 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модульный с приемником из акрилона,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смол; чехол полимерный гелевый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энергосберегающая; коленный шарнир  полицентрический, с «геометрическим замком»</w:t>
            </w:r>
            <w:r w:rsidRPr="00F6094F">
              <w:rPr>
                <w:color w:val="000000"/>
                <w:sz w:val="20"/>
                <w:szCs w:val="20"/>
              </w:rPr>
              <w:t xml:space="preserve"> или без замка</w:t>
            </w:r>
            <w:r w:rsidRPr="00F6094F">
              <w:rPr>
                <w:sz w:val="20"/>
                <w:szCs w:val="20"/>
              </w:rPr>
              <w:t>, с зависимым механическим регулированием фаз сгибания-разгибания;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модульный комбинированный с приемником из МПЛ,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Количество приемных (пробных) гильз: 1 шт., постоянная гильза из литьевого слоистого пластика на основе полиамидных смол - 1 шт.;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полицентрический, с «геометрическим замком» или без замка, с зависимым механическим регулированием фаз сгибания-разгибания, материал - титан;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 xml:space="preserve">Протез бедра модульный с приемником из акрилона,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Количество приемных (пробных) гильз: 1 шт.; постоянная гильза из литьевого слоистого пластика на основе акриловых смол - 1 шт.; чехол полимерный гелевый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шарнир </w:t>
            </w:r>
            <w:r w:rsidRPr="00F6094F">
              <w:rPr>
                <w:sz w:val="20"/>
                <w:szCs w:val="20"/>
              </w:rPr>
              <w:lastRenderedPageBreak/>
              <w:t>гидравлический; с поворотным устройством; тип протеза по назначению: постоянный.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lastRenderedPageBreak/>
              <w:t>штука</w:t>
            </w:r>
          </w:p>
        </w:tc>
      </w:tr>
      <w:tr w:rsidR="00651B93" w:rsidRPr="00F6094F" w:rsidTr="008B3E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лечебно-тренировочный</w:t>
            </w:r>
          </w:p>
          <w:p w:rsidR="00651B93" w:rsidRPr="00F6094F" w:rsidRDefault="00651B93" w:rsidP="008B3E6E">
            <w:pPr>
              <w:rPr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Протез бедра лечебно-тренировочный,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силоновые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механический, одноосный с «геометрическим замком»; тип протеза по назначению: специальный. В комплекте 4 чехла.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3" w:rsidRPr="00F6094F" w:rsidRDefault="00651B93" w:rsidP="008B3E6E">
            <w:pPr>
              <w:rPr>
                <w:sz w:val="20"/>
                <w:szCs w:val="20"/>
              </w:rPr>
            </w:pPr>
            <w:r w:rsidRPr="00F6094F">
              <w:rPr>
                <w:sz w:val="20"/>
                <w:szCs w:val="20"/>
              </w:rPr>
              <w:t>штука</w:t>
            </w:r>
          </w:p>
        </w:tc>
      </w:tr>
    </w:tbl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b/>
          <w:sz w:val="22"/>
          <w:szCs w:val="22"/>
        </w:rPr>
      </w:pPr>
      <w:r w:rsidRPr="004E4D60">
        <w:rPr>
          <w:b/>
          <w:sz w:val="22"/>
          <w:szCs w:val="22"/>
        </w:rPr>
        <w:t>Требования к безопасности работ: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 xml:space="preserve">Выполняемые работы по изготовлению протезов должны соответствовать установленным </w:t>
      </w:r>
      <w:r w:rsidRPr="004E4D60">
        <w:rPr>
          <w:sz w:val="22"/>
          <w:szCs w:val="22"/>
        </w:rPr>
        <w:lastRenderedPageBreak/>
        <w:t>ГОСТам, ТУ и иным документам, принятым для данных видов работ и изделий.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 xml:space="preserve">При готовности приступить к выполнению работ по изготовлению протезов, предоставление </w:t>
      </w:r>
      <w:r w:rsidRPr="004E4D60">
        <w:rPr>
          <w:sz w:val="22"/>
          <w:szCs w:val="22"/>
        </w:rPr>
        <w:lastRenderedPageBreak/>
        <w:t xml:space="preserve">государственному заказчику копии регистрационных удостоверений и документов, </w:t>
      </w:r>
      <w:r w:rsidRPr="004E4D60">
        <w:rPr>
          <w:sz w:val="22"/>
          <w:szCs w:val="22"/>
        </w:rPr>
        <w:lastRenderedPageBreak/>
        <w:t>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b/>
          <w:sz w:val="22"/>
          <w:szCs w:val="22"/>
        </w:rPr>
      </w:pPr>
      <w:r w:rsidRPr="004E4D60">
        <w:rPr>
          <w:b/>
          <w:sz w:val="22"/>
          <w:szCs w:val="22"/>
        </w:rPr>
        <w:t>Требования к результатам работ: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b/>
          <w:sz w:val="22"/>
          <w:szCs w:val="22"/>
        </w:rPr>
      </w:pPr>
      <w:r w:rsidRPr="004E4D60">
        <w:rPr>
          <w:b/>
          <w:sz w:val="22"/>
          <w:szCs w:val="22"/>
        </w:rPr>
        <w:t>Требования к упаковке, маркировке и транспортировке изделий, являющихся результатом работ: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Требования к маркировке, упаковке, транспортированию и хранению изделий по ГОСТ 20790/ГОСТ 59444, ГОСТ 30324.0/ГОСТ Р 50267.0 и ГОСТ 51632-2014.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b/>
          <w:sz w:val="22"/>
          <w:szCs w:val="22"/>
        </w:rPr>
      </w:pPr>
      <w:r w:rsidRPr="004E4D60">
        <w:rPr>
          <w:b/>
          <w:sz w:val="22"/>
          <w:szCs w:val="22"/>
        </w:rPr>
        <w:t>Требования к гарантийному сроку и (или) объему предоставления гарантий качества работ:</w:t>
      </w:r>
    </w:p>
    <w:p w:rsidR="00651B93" w:rsidRPr="004E4D60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составляет не менее 7 месяцев.</w:t>
      </w:r>
    </w:p>
    <w:p w:rsidR="00651B93" w:rsidRDefault="00651B93" w:rsidP="00651B93">
      <w:pPr>
        <w:widowControl w:val="0"/>
        <w:spacing w:after="0"/>
        <w:ind w:right="23"/>
        <w:jc w:val="left"/>
        <w:rPr>
          <w:sz w:val="22"/>
          <w:szCs w:val="22"/>
        </w:rPr>
      </w:pPr>
      <w:r w:rsidRPr="004E4D60">
        <w:rPr>
          <w:sz w:val="22"/>
          <w:szCs w:val="22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651B93" w:rsidRPr="006A217E" w:rsidRDefault="00651B93" w:rsidP="00651B93">
      <w:pPr>
        <w:pStyle w:val="Standard"/>
        <w:rPr>
          <w:rFonts w:eastAsia="Arial" w:cs="Times New Roman"/>
          <w:sz w:val="20"/>
          <w:szCs w:val="20"/>
        </w:rPr>
      </w:pPr>
      <w:r w:rsidRPr="006A217E">
        <w:rPr>
          <w:rFonts w:eastAsia="Arial" w:cs="Times New Roman"/>
          <w:sz w:val="20"/>
          <w:szCs w:val="20"/>
          <w:u w:val="single"/>
        </w:rPr>
        <w:t>Место доставки</w:t>
      </w:r>
      <w:r w:rsidRPr="006A217E">
        <w:rPr>
          <w:rFonts w:eastAsia="Arial" w:cs="Times New Roman"/>
          <w:sz w:val="20"/>
          <w:szCs w:val="20"/>
        </w:rPr>
        <w:t>: Российская Федерация.</w:t>
      </w:r>
    </w:p>
    <w:p w:rsidR="00651B93" w:rsidRPr="006A217E" w:rsidRDefault="00651B93" w:rsidP="00651B93">
      <w:pPr>
        <w:pStyle w:val="Standard"/>
        <w:rPr>
          <w:rFonts w:eastAsia="Arial" w:cs="Times New Roman"/>
          <w:sz w:val="20"/>
          <w:szCs w:val="20"/>
        </w:rPr>
      </w:pPr>
      <w:r w:rsidRPr="006A217E">
        <w:rPr>
          <w:rFonts w:eastAsia="Arial" w:cs="Times New Roman"/>
          <w:sz w:val="20"/>
          <w:szCs w:val="20"/>
        </w:rPr>
        <w:t>Выполнить работы по настоящему Контракту и передать их результат непосредственно Получателю в срок, предусмотренный Описанием объекта закупки, при представлении им паспорта и Направления, выдаваемого Заказчиком.</w:t>
      </w:r>
    </w:p>
    <w:p w:rsidR="00651B93" w:rsidRPr="006A217E" w:rsidRDefault="00651B93" w:rsidP="00651B93">
      <w:pPr>
        <w:pStyle w:val="Standard"/>
        <w:rPr>
          <w:rFonts w:eastAsia="Arial" w:cs="Times New Roman"/>
          <w:sz w:val="20"/>
          <w:szCs w:val="20"/>
        </w:rPr>
      </w:pPr>
      <w:r w:rsidRPr="006A217E">
        <w:rPr>
          <w:rFonts w:eastAsia="Arial" w:cs="Times New Roman"/>
          <w:sz w:val="20"/>
          <w:szCs w:val="20"/>
          <w:u w:val="single"/>
        </w:rPr>
        <w:t>Выполнение работ</w:t>
      </w:r>
      <w:r w:rsidRPr="006A217E">
        <w:rPr>
          <w:rFonts w:eastAsia="Arial" w:cs="Times New Roman"/>
          <w:sz w:val="20"/>
          <w:szCs w:val="20"/>
        </w:rPr>
        <w:t xml:space="preserve"> осуществляется по индивидуальным заказам Получателей по месту изготовления изделий.</w:t>
      </w:r>
    </w:p>
    <w:p w:rsidR="00651B93" w:rsidRPr="006A217E" w:rsidRDefault="00651B93" w:rsidP="00651B93">
      <w:pPr>
        <w:pStyle w:val="Standard"/>
        <w:rPr>
          <w:rFonts w:eastAsia="Arial" w:cs="Times New Roman"/>
          <w:sz w:val="20"/>
          <w:szCs w:val="20"/>
        </w:rPr>
      </w:pPr>
      <w:r w:rsidRPr="006A217E">
        <w:rPr>
          <w:rFonts w:eastAsia="Arial" w:cs="Times New Roman"/>
          <w:sz w:val="20"/>
          <w:szCs w:val="20"/>
          <w:u w:val="single"/>
        </w:rPr>
        <w:t>Обеспечение и выдача изделий</w:t>
      </w:r>
      <w:r w:rsidRPr="006A217E">
        <w:rPr>
          <w:rFonts w:eastAsia="Arial" w:cs="Times New Roman"/>
          <w:sz w:val="20"/>
          <w:szCs w:val="20"/>
        </w:rPr>
        <w:t xml:space="preserve"> осуществляется на территории Псковской области, по месту нахождения и/или жительства Получателя либо по месту нахождения пункта выдачи.</w:t>
      </w:r>
    </w:p>
    <w:p w:rsidR="00651B93" w:rsidRPr="006A217E" w:rsidRDefault="00651B93" w:rsidP="00651B93">
      <w:pPr>
        <w:pStyle w:val="Standard"/>
        <w:rPr>
          <w:rFonts w:eastAsia="Arial" w:cs="Times New Roman"/>
          <w:sz w:val="20"/>
          <w:szCs w:val="20"/>
        </w:rPr>
      </w:pPr>
      <w:r w:rsidRPr="006A217E">
        <w:rPr>
          <w:rFonts w:eastAsia="Arial" w:cs="Times New Roman"/>
          <w:sz w:val="20"/>
          <w:szCs w:val="20"/>
          <w:u w:val="single"/>
        </w:rPr>
        <w:t>Начало срока выполнения работ</w:t>
      </w:r>
      <w:r w:rsidRPr="006A217E">
        <w:rPr>
          <w:rFonts w:eastAsia="Arial" w:cs="Times New Roman"/>
          <w:sz w:val="20"/>
          <w:szCs w:val="20"/>
        </w:rPr>
        <w:t xml:space="preserve"> – день предоставления Получателем Исполнителю Направления </w:t>
      </w:r>
    </w:p>
    <w:p w:rsidR="00651B93" w:rsidRPr="006A217E" w:rsidRDefault="00651B93" w:rsidP="00651B93">
      <w:pPr>
        <w:pStyle w:val="Standard"/>
        <w:tabs>
          <w:tab w:val="center" w:pos="4819"/>
        </w:tabs>
        <w:rPr>
          <w:rFonts w:eastAsia="Arial" w:cs="Times New Roman"/>
          <w:sz w:val="20"/>
          <w:szCs w:val="20"/>
        </w:rPr>
      </w:pPr>
      <w:r w:rsidRPr="006A217E">
        <w:rPr>
          <w:rFonts w:eastAsia="Arial" w:cs="Times New Roman"/>
          <w:sz w:val="20"/>
          <w:szCs w:val="20"/>
          <w:u w:val="single"/>
        </w:rPr>
        <w:t>Срок выполнения работ</w:t>
      </w:r>
      <w:r w:rsidRPr="006A217E">
        <w:rPr>
          <w:rFonts w:eastAsia="Arial" w:cs="Times New Roman"/>
          <w:sz w:val="20"/>
          <w:szCs w:val="20"/>
        </w:rPr>
        <w:t xml:space="preserve"> не позднее 16.09.2022 г.</w:t>
      </w:r>
      <w:r w:rsidRPr="006A217E">
        <w:rPr>
          <w:rFonts w:eastAsia="Arial" w:cs="Times New Roman"/>
          <w:sz w:val="20"/>
          <w:szCs w:val="20"/>
        </w:rPr>
        <w:tab/>
      </w:r>
    </w:p>
    <w:p w:rsidR="00651B93" w:rsidRDefault="00651B93" w:rsidP="00651B93">
      <w:pPr>
        <w:widowControl w:val="0"/>
        <w:spacing w:after="0"/>
        <w:ind w:right="23"/>
        <w:jc w:val="left"/>
        <w:rPr>
          <w:rFonts w:eastAsia="Arial"/>
          <w:sz w:val="20"/>
          <w:szCs w:val="20"/>
        </w:rPr>
      </w:pPr>
      <w:r w:rsidRPr="006A217E">
        <w:rPr>
          <w:rFonts w:eastAsia="Arial"/>
          <w:sz w:val="20"/>
          <w:szCs w:val="20"/>
          <w:u w:val="single"/>
        </w:rPr>
        <w:t>Срок действия Контракта</w:t>
      </w:r>
      <w:r w:rsidRPr="006A217E">
        <w:rPr>
          <w:rFonts w:eastAsia="Arial"/>
          <w:sz w:val="20"/>
          <w:szCs w:val="20"/>
        </w:rPr>
        <w:t>: с даты заключения Контракта до 30.09.2022 года включительно</w:t>
      </w:r>
    </w:p>
    <w:p w:rsidR="00630C92" w:rsidRDefault="00630C92">
      <w:bookmarkStart w:id="1" w:name="_GoBack"/>
      <w:bookmarkEnd w:id="1"/>
    </w:p>
    <w:sectPr w:rsidR="0063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A6"/>
    <w:rsid w:val="003203A6"/>
    <w:rsid w:val="00630C92"/>
    <w:rsid w:val="006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C91E-C161-433B-8886-28BE4DD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651B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qFormat/>
    <w:rsid w:val="00651B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Standard">
    <w:name w:val="Standard"/>
    <w:qFormat/>
    <w:rsid w:val="00651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2570</Words>
  <Characters>14653</Characters>
  <Application>Microsoft Office Word</Application>
  <DocSecurity>0</DocSecurity>
  <Lines>122</Lines>
  <Paragraphs>34</Paragraphs>
  <ScaleCrop>false</ScaleCrop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2</cp:revision>
  <dcterms:created xsi:type="dcterms:W3CDTF">2021-11-11T12:27:00Z</dcterms:created>
  <dcterms:modified xsi:type="dcterms:W3CDTF">2021-11-11T12:27:00Z</dcterms:modified>
</cp:coreProperties>
</file>