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90" w:rsidRPr="00BC7C90" w:rsidRDefault="00BC7C90" w:rsidP="00BC7C90">
      <w:pPr>
        <w:keepNext/>
        <w:keepLines/>
        <w:ind w:right="-1" w:firstLine="709"/>
        <w:contextualSpacing/>
        <w:jc w:val="center"/>
        <w:outlineLvl w:val="0"/>
        <w:rPr>
          <w:b/>
          <w:kern w:val="28"/>
        </w:rPr>
      </w:pPr>
      <w:r w:rsidRPr="00BC7C90">
        <w:rPr>
          <w:b/>
          <w:kern w:val="28"/>
        </w:rPr>
        <w:t>ОПИСАНИЕ ОБЪЕКТА ЗАКУПКИ</w:t>
      </w:r>
    </w:p>
    <w:p w:rsidR="00BC7C90" w:rsidRPr="00BC7C90" w:rsidRDefault="00BC7C90" w:rsidP="00BC7C90">
      <w:pPr>
        <w:ind w:right="-1"/>
        <w:jc w:val="center"/>
        <w:rPr>
          <w:b/>
        </w:rPr>
      </w:pPr>
      <w:r w:rsidRPr="00BC7C90">
        <w:rPr>
          <w:b/>
          <w:bCs/>
        </w:rPr>
        <w:t>Выполнение работ по обеспечению застрахованных лиц, пострадавших в результате несчастных случаев на производстве и профессиональных заболеваний, протезами.</w:t>
      </w:r>
    </w:p>
    <w:p w:rsidR="00BC7C90" w:rsidRPr="00BC7C90" w:rsidRDefault="00BC7C90" w:rsidP="00BC7C90">
      <w:pPr>
        <w:ind w:right="-1"/>
        <w:jc w:val="center"/>
        <w:rPr>
          <w:b/>
        </w:rPr>
      </w:pPr>
      <w:r w:rsidRPr="00BC7C90">
        <w:rPr>
          <w:b/>
        </w:rPr>
        <w:t xml:space="preserve">Требования к качеству, техническим, функциональным характеристикам протезов </w:t>
      </w:r>
      <w:r w:rsidR="00F42B24">
        <w:rPr>
          <w:b/>
        </w:rPr>
        <w:t>верхн</w:t>
      </w:r>
      <w:r>
        <w:rPr>
          <w:b/>
        </w:rPr>
        <w:t>их</w:t>
      </w:r>
      <w:r w:rsidRPr="00BC7C90">
        <w:rPr>
          <w:b/>
        </w:rPr>
        <w:t xml:space="preserve"> конечностей.</w:t>
      </w:r>
    </w:p>
    <w:p w:rsidR="00BC7C90" w:rsidRPr="00BC7C90" w:rsidRDefault="00BC7C90" w:rsidP="00BC7C90">
      <w:pPr>
        <w:ind w:right="-1"/>
        <w:jc w:val="center"/>
        <w:rPr>
          <w:b/>
        </w:rPr>
      </w:pPr>
      <w:r w:rsidRPr="00BC7C90">
        <w:rPr>
          <w:b/>
        </w:rPr>
        <w:t>Требования к качеству работ.</w:t>
      </w:r>
    </w:p>
    <w:p w:rsidR="00B31978" w:rsidRPr="00495C1A" w:rsidRDefault="00B31978" w:rsidP="00B31978">
      <w:pPr>
        <w:ind w:left="-567" w:firstLine="708"/>
        <w:jc w:val="both"/>
      </w:pPr>
      <w:r w:rsidRPr="00495C1A">
        <w:t>Протез</w:t>
      </w:r>
      <w:r w:rsidR="00CC1B9F">
        <w:t xml:space="preserve">ы </w:t>
      </w:r>
      <w:r w:rsidR="00F42B24">
        <w:t>верхни</w:t>
      </w:r>
      <w:r w:rsidR="00CC1B9F">
        <w:t>х</w:t>
      </w:r>
      <w:r w:rsidRPr="00495C1A">
        <w:t xml:space="preserve"> конечност</w:t>
      </w:r>
      <w:r w:rsidR="00CC1B9F">
        <w:t>ей долж</w:t>
      </w:r>
      <w:r w:rsidRPr="00495C1A">
        <w:t>н</w:t>
      </w:r>
      <w:r w:rsidR="00CC1B9F">
        <w:t>ы</w:t>
      </w:r>
      <w:r w:rsidRPr="00495C1A">
        <w:t xml:space="preserve">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495C1A">
        <w:t>цитотоксичность</w:t>
      </w:r>
      <w:proofErr w:type="spellEnd"/>
      <w:r w:rsidRPr="00495C1A">
        <w:t xml:space="preserve">: методы </w:t>
      </w:r>
      <w:proofErr w:type="spellStart"/>
      <w:r w:rsidRPr="00495C1A">
        <w:t>in</w:t>
      </w:r>
      <w:proofErr w:type="spellEnd"/>
      <w:r w:rsidRPr="00495C1A">
        <w:t xml:space="preserve"> </w:t>
      </w:r>
      <w:proofErr w:type="spellStart"/>
      <w:r w:rsidRPr="00495C1A">
        <w:t>vitro</w:t>
      </w:r>
      <w:proofErr w:type="spellEnd"/>
      <w:r w:rsidRPr="00495C1A">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495C1A">
        <w:t>Р</w:t>
      </w:r>
      <w:proofErr w:type="gramEnd"/>
      <w:r w:rsidRPr="00495C1A">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495C1A">
        <w:t>Р</w:t>
      </w:r>
      <w:proofErr w:type="gramEnd"/>
      <w:r w:rsidRPr="00495C1A">
        <w:t xml:space="preserve"> ИСО 22523-2007 «Протезы конечностей и </w:t>
      </w:r>
      <w:proofErr w:type="spellStart"/>
      <w:r w:rsidRPr="00495C1A">
        <w:t>ортезы</w:t>
      </w:r>
      <w:proofErr w:type="spellEnd"/>
      <w:r w:rsidRPr="00495C1A">
        <w:t xml:space="preserve"> наружные. Требования и методы испытаний».</w:t>
      </w:r>
    </w:p>
    <w:p w:rsidR="00B31978" w:rsidRPr="00495C1A" w:rsidRDefault="00B31978" w:rsidP="00B31978">
      <w:pPr>
        <w:ind w:left="-567" w:firstLine="708"/>
        <w:jc w:val="both"/>
      </w:pPr>
      <w:r w:rsidRPr="00495C1A">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B31978">
      <w:pPr>
        <w:ind w:left="-567" w:firstLine="708"/>
        <w:jc w:val="center"/>
        <w:rPr>
          <w:b/>
        </w:rPr>
      </w:pPr>
      <w:r w:rsidRPr="00495C1A">
        <w:rPr>
          <w:b/>
        </w:rPr>
        <w:t>Требования к техническим и функциональным характеристикам работ</w:t>
      </w:r>
    </w:p>
    <w:p w:rsidR="00B31978" w:rsidRDefault="00B31978" w:rsidP="00B31978">
      <w:pPr>
        <w:ind w:left="-567" w:firstLine="708"/>
        <w:jc w:val="both"/>
      </w:pPr>
      <w:r w:rsidRPr="00495C1A">
        <w:t>Выполняемые работы по обеспечению застрахованн</w:t>
      </w:r>
      <w:r w:rsidR="00CC1B9F">
        <w:t>ых</w:t>
      </w:r>
      <w:r w:rsidRPr="00495C1A">
        <w:t xml:space="preserve"> лиц</w:t>
      </w:r>
      <w:r w:rsidR="00CC1B9F">
        <w:t>, пострадавших</w:t>
      </w:r>
      <w:r w:rsidRPr="00495C1A">
        <w:t xml:space="preserve"> в результате несчастн</w:t>
      </w:r>
      <w:r w:rsidR="00CC1B9F">
        <w:t>ых</w:t>
      </w:r>
      <w:r w:rsidRPr="00495C1A">
        <w:t xml:space="preserve"> случа</w:t>
      </w:r>
      <w:r w:rsidR="00CC1B9F">
        <w:t>ев</w:t>
      </w:r>
      <w:r w:rsidRPr="00495C1A">
        <w:t xml:space="preserve"> на производстве </w:t>
      </w:r>
      <w:r w:rsidR="00CC1B9F">
        <w:t xml:space="preserve">и профессиональных заболеваний </w:t>
      </w:r>
      <w:r w:rsidRPr="00495C1A">
        <w:t>протез</w:t>
      </w:r>
      <w:r>
        <w:t>а</w:t>
      </w:r>
      <w:r w:rsidRPr="00495C1A">
        <w:t>м</w:t>
      </w:r>
      <w:r>
        <w:t>и</w:t>
      </w:r>
      <w:r w:rsidR="00F42B24">
        <w:t xml:space="preserve"> верхн</w:t>
      </w:r>
      <w:r w:rsidR="00CC1B9F">
        <w:t>их</w:t>
      </w:r>
      <w:r w:rsidRPr="00495C1A">
        <w:t xml:space="preserve"> конечност</w:t>
      </w:r>
      <w:r w:rsidR="00CC1B9F">
        <w:t>ей</w:t>
      </w:r>
      <w:r w:rsidRPr="00495C1A">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B31978" w:rsidRPr="00495C1A" w:rsidRDefault="00B31978" w:rsidP="00B31978">
      <w:pPr>
        <w:ind w:left="-567" w:firstLine="708"/>
        <w:jc w:val="both"/>
        <w:rPr>
          <w:b/>
        </w:rPr>
      </w:pPr>
      <w:r w:rsidRPr="00495C1A">
        <w:rPr>
          <w:b/>
        </w:rPr>
        <w:t>Требования к безопасности работ</w:t>
      </w:r>
    </w:p>
    <w:p w:rsidR="00B31978" w:rsidRPr="00495C1A" w:rsidRDefault="00B31978" w:rsidP="00B31978">
      <w:pPr>
        <w:ind w:left="-567" w:firstLine="708"/>
        <w:jc w:val="both"/>
      </w:pPr>
      <w:r w:rsidRPr="00495C1A">
        <w:t>Проведение ра</w:t>
      </w:r>
      <w:r w:rsidR="00CC1B9F">
        <w:t>бот по обеспечению застрахованных</w:t>
      </w:r>
      <w:r w:rsidRPr="00495C1A">
        <w:t xml:space="preserve"> лиц, пострадавш</w:t>
      </w:r>
      <w:r w:rsidR="00CC1B9F">
        <w:t>их</w:t>
      </w:r>
      <w:r w:rsidRPr="00495C1A">
        <w:t xml:space="preserve"> в результате несчастн</w:t>
      </w:r>
      <w:r w:rsidR="00CC1B9F">
        <w:t>ых</w:t>
      </w:r>
      <w:r w:rsidRPr="00495C1A">
        <w:t xml:space="preserve"> случа</w:t>
      </w:r>
      <w:r w:rsidR="00CC1B9F">
        <w:t>ев</w:t>
      </w:r>
      <w:r w:rsidRPr="00495C1A">
        <w:t xml:space="preserve"> на производстве </w:t>
      </w:r>
      <w:r w:rsidR="00CC1B9F">
        <w:t>и профессиональных заболеваний</w:t>
      </w:r>
      <w:r>
        <w:t xml:space="preserve"> протеза</w:t>
      </w:r>
      <w:r w:rsidRPr="00495C1A">
        <w:t>м</w:t>
      </w:r>
      <w:r>
        <w:t>и</w:t>
      </w:r>
      <w:r w:rsidR="00F42B24">
        <w:t xml:space="preserve"> верхн</w:t>
      </w:r>
      <w:r w:rsidR="00CC1B9F">
        <w:t>их</w:t>
      </w:r>
      <w:r w:rsidRPr="00495C1A">
        <w:t xml:space="preserve"> конечност</w:t>
      </w:r>
      <w:r w:rsidR="00CC1B9F">
        <w:t>ей</w:t>
      </w:r>
      <w:r w:rsidRPr="00495C1A">
        <w:t xml:space="preserve"> должно осуществляться в соответствии с требованиями, установленными законодательством Российской Федерации.</w:t>
      </w:r>
    </w:p>
    <w:p w:rsidR="00B31978" w:rsidRPr="00495C1A" w:rsidRDefault="00B31978" w:rsidP="00B31978">
      <w:pPr>
        <w:ind w:left="-567" w:firstLine="708"/>
        <w:jc w:val="both"/>
        <w:rPr>
          <w:b/>
        </w:rPr>
      </w:pPr>
      <w:r w:rsidRPr="00495C1A">
        <w:rPr>
          <w:b/>
        </w:rPr>
        <w:t>Требования к результатам работ</w:t>
      </w:r>
    </w:p>
    <w:p w:rsidR="00B31978" w:rsidRPr="00495C1A" w:rsidRDefault="00B31978" w:rsidP="00B31978">
      <w:pPr>
        <w:ind w:left="-567" w:firstLine="708"/>
        <w:jc w:val="both"/>
      </w:pPr>
      <w:r w:rsidRPr="00495C1A">
        <w:t xml:space="preserve">Работы по обеспечению </w:t>
      </w:r>
      <w:r w:rsidR="00CC1B9F">
        <w:t>застрахованных</w:t>
      </w:r>
      <w:r w:rsidRPr="00495C1A">
        <w:t xml:space="preserve"> лиц</w:t>
      </w:r>
      <w:r w:rsidR="00CC1B9F">
        <w:t>, пострадавших в результате несчастных</w:t>
      </w:r>
      <w:r w:rsidRPr="00495C1A">
        <w:t xml:space="preserve"> случа</w:t>
      </w:r>
      <w:r w:rsidR="00CC1B9F">
        <w:t>ев</w:t>
      </w:r>
      <w:r w:rsidRPr="00495C1A">
        <w:t xml:space="preserve"> на производстве протез</w:t>
      </w:r>
      <w:r>
        <w:t>ами</w:t>
      </w:r>
      <w:r w:rsidR="00F42B24">
        <w:t xml:space="preserve"> верх</w:t>
      </w:r>
      <w:r w:rsidR="00CC1B9F">
        <w:t>них</w:t>
      </w:r>
      <w:r w:rsidRPr="00495C1A">
        <w:t xml:space="preserve"> конечност</w:t>
      </w:r>
      <w:r w:rsidR="00CC1B9F">
        <w:t>ей</w:t>
      </w:r>
      <w:r w:rsidRPr="00495C1A">
        <w:t xml:space="preserve"> следует считать эффективно исполненным</w:t>
      </w:r>
      <w:r w:rsidR="00CC1B9F">
        <w:t>и</w:t>
      </w:r>
      <w:r w:rsidRPr="00495C1A">
        <w:t>, если у застрахованн</w:t>
      </w:r>
      <w:r w:rsidR="00CC1B9F">
        <w:t>ых</w:t>
      </w:r>
      <w:r w:rsidRPr="00495C1A">
        <w:t xml:space="preserve"> лиц</w:t>
      </w:r>
      <w:r w:rsidR="00CC1B9F">
        <w:t>, пострадавших в результате несчастных</w:t>
      </w:r>
      <w:r w:rsidRPr="00495C1A">
        <w:t xml:space="preserve"> случа</w:t>
      </w:r>
      <w:r w:rsidR="00CC1B9F">
        <w:t>ев</w:t>
      </w:r>
      <w:r w:rsidRPr="00495C1A">
        <w:t xml:space="preserve"> на производстве </w:t>
      </w:r>
      <w:r w:rsidR="00CC1B9F">
        <w:t xml:space="preserve">и профессиональных заболеваний </w:t>
      </w:r>
      <w:r w:rsidRPr="00495C1A">
        <w:t xml:space="preserve">восстановлена опорная и двигательная функции, созданы условия для предупреждения развития деформации или благоприятного течения болезни. Работы по </w:t>
      </w:r>
      <w:r w:rsidR="00CC1B9F">
        <w:t>обеспечению застрахованных лиц, пострадавших в результате несчастных</w:t>
      </w:r>
      <w:r w:rsidRPr="00495C1A">
        <w:t xml:space="preserve"> случа</w:t>
      </w:r>
      <w:r w:rsidR="00CC1B9F">
        <w:t>ев</w:t>
      </w:r>
      <w:r w:rsidRPr="00495C1A">
        <w:t xml:space="preserve"> на производстве </w:t>
      </w:r>
      <w:r w:rsidR="00CC1B9F">
        <w:t xml:space="preserve">и профессиональных заболеваний </w:t>
      </w:r>
      <w:r w:rsidRPr="00495C1A">
        <w:t>протез</w:t>
      </w:r>
      <w:r>
        <w:t>ами</w:t>
      </w:r>
      <w:r w:rsidRPr="00495C1A">
        <w:t xml:space="preserve"> должны быть выполнены с надлежащим качеством и в установленные сроки.</w:t>
      </w:r>
    </w:p>
    <w:p w:rsidR="00B31978" w:rsidRPr="00495C1A" w:rsidRDefault="00B31978" w:rsidP="00B31978">
      <w:pPr>
        <w:ind w:left="-567" w:firstLine="708"/>
        <w:jc w:val="both"/>
        <w:rPr>
          <w:b/>
        </w:rPr>
      </w:pPr>
      <w:r w:rsidRPr="00495C1A">
        <w:rPr>
          <w:b/>
        </w:rPr>
        <w:t>Требования к размерам, упаковке и отгрузке изделий.</w:t>
      </w:r>
    </w:p>
    <w:p w:rsidR="00B31978" w:rsidRPr="00495C1A" w:rsidRDefault="00CC1B9F" w:rsidP="00B31978">
      <w:pPr>
        <w:ind w:left="-567" w:firstLine="708"/>
        <w:jc w:val="both"/>
      </w:pPr>
      <w:r>
        <w:t>Упаковка  протезов</w:t>
      </w:r>
      <w:r w:rsidR="00F42B24">
        <w:t xml:space="preserve"> верх</w:t>
      </w:r>
      <w:r w:rsidR="00B31978" w:rsidRPr="00495C1A">
        <w:t xml:space="preserve">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31978" w:rsidRPr="00495C1A" w:rsidRDefault="00B31978" w:rsidP="00B31978">
      <w:pPr>
        <w:ind w:left="-567" w:firstLine="708"/>
        <w:jc w:val="both"/>
        <w:rPr>
          <w:b/>
        </w:rPr>
      </w:pPr>
      <w:r w:rsidRPr="00495C1A">
        <w:rPr>
          <w:b/>
        </w:rPr>
        <w:t>Требования к срокам и (или) объему предоставления гарантии качества работ</w:t>
      </w:r>
    </w:p>
    <w:p w:rsidR="00B31978" w:rsidRPr="00495C1A" w:rsidRDefault="00B31978" w:rsidP="00B31978">
      <w:pPr>
        <w:ind w:left="-567" w:firstLine="708"/>
        <w:jc w:val="both"/>
      </w:pPr>
      <w:r w:rsidRPr="00495C1A">
        <w:t>Гарантийный срок на протез</w:t>
      </w:r>
      <w:r w:rsidR="00CC1B9F">
        <w:t>ы</w:t>
      </w:r>
      <w:r w:rsidRPr="00495C1A">
        <w:t xml:space="preserve"> устанавливается со дня выдачи готового изделия в эксплуатацию, а именно в течение этого срока предприятие-изготовитель производит замену или ремонт изделия бесплатно.</w:t>
      </w:r>
    </w:p>
    <w:p w:rsidR="00B31978" w:rsidRPr="00495C1A" w:rsidRDefault="00B31978" w:rsidP="00B31978">
      <w:pPr>
        <w:ind w:left="-567" w:firstLine="708"/>
        <w:jc w:val="both"/>
      </w:pPr>
      <w:r w:rsidRPr="00495C1A">
        <w:lastRenderedPageBreak/>
        <w:t>Протез</w:t>
      </w:r>
      <w:r w:rsidR="00CC1B9F">
        <w:t>ы</w:t>
      </w:r>
      <w:r w:rsidRPr="00495C1A">
        <w:t xml:space="preserve"> должн</w:t>
      </w:r>
      <w:r w:rsidR="00CC1B9F">
        <w:t>ы</w:t>
      </w:r>
      <w:r w:rsidRPr="00495C1A">
        <w:t xml:space="preserve">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B31978">
      <w:pPr>
        <w:ind w:left="-567" w:firstLine="708"/>
        <w:jc w:val="both"/>
        <w:rPr>
          <w:b/>
        </w:rPr>
      </w:pPr>
      <w:r w:rsidRPr="00495C1A">
        <w:rPr>
          <w:b/>
        </w:rPr>
        <w:t>Место, условия и сроки (периоды) выполнения работ</w:t>
      </w:r>
    </w:p>
    <w:p w:rsidR="00B31978" w:rsidRPr="00495C1A" w:rsidRDefault="00B31978" w:rsidP="00B31978">
      <w:pPr>
        <w:ind w:left="-567" w:firstLine="708"/>
        <w:jc w:val="both"/>
      </w:pPr>
      <w:r w:rsidRPr="00495C1A">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B31978" w:rsidRDefault="00B31978" w:rsidP="00B31978">
      <w:pPr>
        <w:ind w:left="-567" w:firstLine="708"/>
        <w:jc w:val="both"/>
      </w:pPr>
      <w:r w:rsidRPr="00B31978">
        <w:t>Место выполнения работ: 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сведения о Получателе, которому филиалом Заказчика выдано Направление на обеспечение изделием. Исполнитель должен обеспечить возможность обращения Получателя с Направлением и получения результата работ (изделия) (т.е. обеспечить проведение замеров, примерку и выдачу готового изделия) на территории г. Ростова-на-Дону и Ростовской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w:t>
      </w:r>
      <w:r>
        <w:t>.</w:t>
      </w:r>
    </w:p>
    <w:p w:rsidR="00B31978" w:rsidRDefault="00B31978" w:rsidP="00B31978">
      <w:pPr>
        <w:ind w:left="-567" w:firstLine="708"/>
        <w:jc w:val="both"/>
        <w:rPr>
          <w:b/>
        </w:rPr>
      </w:pPr>
      <w:r w:rsidRPr="00495C1A">
        <w:t xml:space="preserve">Изготовление и выдача Получателю готового Изделия осуществляется в срок </w:t>
      </w:r>
      <w:r w:rsidR="002231EB">
        <w:rPr>
          <w:b/>
        </w:rPr>
        <w:t>не более 3</w:t>
      </w:r>
      <w:r w:rsidRPr="00495C1A">
        <w:rPr>
          <w:b/>
        </w:rPr>
        <w:t>0 календарных дней</w:t>
      </w:r>
      <w:r w:rsidRPr="00495C1A">
        <w:t xml:space="preserve"> с момента получения Направления Получателя, но не позднее </w:t>
      </w:r>
      <w:r w:rsidR="00F42B24">
        <w:rPr>
          <w:b/>
        </w:rPr>
        <w:t>1</w:t>
      </w:r>
      <w:r w:rsidR="00E339EF">
        <w:rPr>
          <w:b/>
        </w:rPr>
        <w:t>6</w:t>
      </w:r>
      <w:r w:rsidR="00CC1B9F">
        <w:rPr>
          <w:b/>
        </w:rPr>
        <w:t>.1</w:t>
      </w:r>
      <w:r w:rsidR="00700BBD">
        <w:rPr>
          <w:b/>
        </w:rPr>
        <w:t>2</w:t>
      </w:r>
      <w:r w:rsidRPr="00495C1A">
        <w:rPr>
          <w:b/>
        </w:rPr>
        <w:t>.20</w:t>
      </w:r>
      <w:r>
        <w:rPr>
          <w:b/>
        </w:rPr>
        <w:t>21</w:t>
      </w:r>
      <w:r w:rsidRPr="00495C1A">
        <w:rPr>
          <w:b/>
        </w:rPr>
        <w:t xml:space="preserve"> года.</w:t>
      </w:r>
    </w:p>
    <w:p w:rsidR="00B31978" w:rsidRPr="00495C1A" w:rsidRDefault="00B31978" w:rsidP="00B31978">
      <w:pPr>
        <w:ind w:left="-567" w:firstLine="708"/>
        <w:jc w:val="both"/>
      </w:pPr>
    </w:p>
    <w:tbl>
      <w:tblPr>
        <w:tblW w:w="5250" w:type="pct"/>
        <w:tblInd w:w="-601" w:type="dxa"/>
        <w:tblLayout w:type="fixed"/>
        <w:tblLook w:val="04A0" w:firstRow="1" w:lastRow="0" w:firstColumn="1" w:lastColumn="0" w:noHBand="0" w:noVBand="1"/>
      </w:tblPr>
      <w:tblGrid>
        <w:gridCol w:w="1789"/>
        <w:gridCol w:w="5217"/>
        <w:gridCol w:w="935"/>
        <w:gridCol w:w="1223"/>
        <w:gridCol w:w="1184"/>
      </w:tblGrid>
      <w:tr w:rsidR="002231EB" w:rsidRPr="00B31978" w:rsidTr="002231EB">
        <w:tc>
          <w:tcPr>
            <w:tcW w:w="864" w:type="pct"/>
            <w:tcBorders>
              <w:top w:val="single" w:sz="4" w:space="0" w:color="000000"/>
              <w:left w:val="single" w:sz="4" w:space="0" w:color="000000"/>
              <w:bottom w:val="single" w:sz="4" w:space="0" w:color="auto"/>
              <w:right w:val="nil"/>
            </w:tcBorders>
            <w:hideMark/>
          </w:tcPr>
          <w:p w:rsidR="00925FAA" w:rsidRPr="00B31978" w:rsidRDefault="00925FAA" w:rsidP="00B31978">
            <w:pPr>
              <w:suppressAutoHyphens/>
              <w:jc w:val="center"/>
              <w:rPr>
                <w:sz w:val="22"/>
                <w:szCs w:val="22"/>
                <w:lang w:eastAsia="ar-SA"/>
              </w:rPr>
            </w:pPr>
            <w:r w:rsidRPr="00B31978">
              <w:rPr>
                <w:lang w:eastAsia="ar-SA"/>
              </w:rPr>
              <w:t>Наименование изделия</w:t>
            </w:r>
          </w:p>
          <w:p w:rsidR="00925FAA" w:rsidRPr="00B31978" w:rsidRDefault="00925FAA" w:rsidP="00B31978">
            <w:pPr>
              <w:suppressAutoHyphens/>
              <w:spacing w:line="276" w:lineRule="auto"/>
              <w:jc w:val="center"/>
              <w:rPr>
                <w:rFonts w:eastAsia="Lucida Sans Unicode"/>
                <w:kern w:val="2"/>
                <w:sz w:val="22"/>
                <w:szCs w:val="22"/>
                <w:lang w:eastAsia="ar-SA"/>
              </w:rPr>
            </w:pPr>
          </w:p>
        </w:tc>
        <w:tc>
          <w:tcPr>
            <w:tcW w:w="2521" w:type="pct"/>
            <w:tcBorders>
              <w:top w:val="single" w:sz="4" w:space="0" w:color="000000"/>
              <w:left w:val="single" w:sz="4" w:space="0" w:color="000000"/>
              <w:bottom w:val="single" w:sz="4" w:space="0" w:color="auto"/>
              <w:right w:val="nil"/>
            </w:tcBorders>
            <w:hideMark/>
          </w:tcPr>
          <w:p w:rsidR="00925FAA" w:rsidRPr="00B31978" w:rsidRDefault="00925FAA" w:rsidP="00B31978">
            <w:pPr>
              <w:suppressAutoHyphens/>
              <w:snapToGrid w:val="0"/>
              <w:jc w:val="center"/>
              <w:rPr>
                <w:rFonts w:eastAsia="Lucida Sans Unicode"/>
                <w:kern w:val="2"/>
                <w:sz w:val="22"/>
                <w:szCs w:val="22"/>
                <w:lang w:eastAsia="ar-SA"/>
              </w:rPr>
            </w:pPr>
            <w:r w:rsidRPr="00B31978">
              <w:rPr>
                <w:lang w:eastAsia="ar-SA"/>
              </w:rPr>
              <w:t>Функциональные</w:t>
            </w:r>
          </w:p>
          <w:p w:rsidR="00925FAA" w:rsidRPr="00B31978" w:rsidRDefault="00925FAA" w:rsidP="00B31978">
            <w:pPr>
              <w:suppressAutoHyphens/>
              <w:snapToGrid w:val="0"/>
              <w:jc w:val="center"/>
              <w:rPr>
                <w:lang w:eastAsia="ar-SA"/>
              </w:rPr>
            </w:pPr>
            <w:r w:rsidRPr="00B31978">
              <w:rPr>
                <w:lang w:eastAsia="ar-SA"/>
              </w:rPr>
              <w:t>характеристики</w:t>
            </w:r>
          </w:p>
          <w:p w:rsidR="00925FAA" w:rsidRPr="00B31978" w:rsidRDefault="00925FAA" w:rsidP="00B31978">
            <w:pPr>
              <w:suppressAutoHyphens/>
              <w:snapToGrid w:val="0"/>
              <w:spacing w:line="276" w:lineRule="auto"/>
              <w:jc w:val="center"/>
              <w:rPr>
                <w:rFonts w:eastAsia="Lucida Sans Unicode"/>
                <w:kern w:val="2"/>
                <w:sz w:val="22"/>
                <w:szCs w:val="22"/>
                <w:lang w:eastAsia="ar-SA"/>
              </w:rPr>
            </w:pPr>
            <w:r w:rsidRPr="00B31978">
              <w:rPr>
                <w:lang w:eastAsia="ar-SA"/>
              </w:rPr>
              <w:t>изделия</w:t>
            </w:r>
          </w:p>
        </w:tc>
        <w:tc>
          <w:tcPr>
            <w:tcW w:w="452" w:type="pct"/>
            <w:tcBorders>
              <w:top w:val="single" w:sz="4" w:space="0" w:color="000000"/>
              <w:left w:val="single" w:sz="4" w:space="0" w:color="000000"/>
              <w:bottom w:val="single" w:sz="4" w:space="0" w:color="000000"/>
              <w:right w:val="nil"/>
            </w:tcBorders>
            <w:hideMark/>
          </w:tcPr>
          <w:p w:rsidR="00925FAA" w:rsidRPr="00B31978" w:rsidRDefault="00925FAA" w:rsidP="00B31978">
            <w:pPr>
              <w:suppressAutoHyphens/>
              <w:snapToGrid w:val="0"/>
              <w:jc w:val="center"/>
              <w:rPr>
                <w:rFonts w:eastAsia="Lucida Sans Unicode"/>
                <w:kern w:val="2"/>
                <w:sz w:val="22"/>
                <w:szCs w:val="22"/>
                <w:lang w:eastAsia="ar-SA"/>
              </w:rPr>
            </w:pPr>
            <w:r w:rsidRPr="00B31978">
              <w:rPr>
                <w:lang w:eastAsia="ar-SA"/>
              </w:rPr>
              <w:t>Коли</w:t>
            </w:r>
            <w:r w:rsidRPr="00B31978">
              <w:rPr>
                <w:rFonts w:eastAsia="Lucida Sans Unicode"/>
                <w:kern w:val="2"/>
                <w:sz w:val="22"/>
                <w:szCs w:val="22"/>
                <w:lang w:eastAsia="ar-SA"/>
              </w:rPr>
              <w:t>ч</w:t>
            </w:r>
            <w:r w:rsidRPr="00B31978">
              <w:rPr>
                <w:lang w:eastAsia="ar-SA"/>
              </w:rPr>
              <w:t>ество (шт.)</w:t>
            </w:r>
          </w:p>
        </w:tc>
        <w:tc>
          <w:tcPr>
            <w:tcW w:w="591" w:type="pct"/>
            <w:tcBorders>
              <w:top w:val="single" w:sz="4" w:space="0" w:color="000000"/>
              <w:left w:val="single" w:sz="4" w:space="0" w:color="000000"/>
              <w:bottom w:val="single" w:sz="4" w:space="0" w:color="000000"/>
              <w:right w:val="single" w:sz="4" w:space="0" w:color="000000"/>
            </w:tcBorders>
          </w:tcPr>
          <w:p w:rsidR="00925FAA" w:rsidRPr="00B31978" w:rsidRDefault="00925FAA" w:rsidP="00B31978">
            <w:pPr>
              <w:suppressAutoHyphens/>
              <w:snapToGrid w:val="0"/>
              <w:jc w:val="center"/>
              <w:rPr>
                <w:lang w:eastAsia="ar-SA"/>
              </w:rPr>
            </w:pPr>
            <w:r w:rsidRPr="00B31978">
              <w:rPr>
                <w:lang w:eastAsia="ar-SA"/>
              </w:rPr>
              <w:t>Срок выполнения работ (календарных дней)</w:t>
            </w:r>
          </w:p>
        </w:tc>
        <w:tc>
          <w:tcPr>
            <w:tcW w:w="572" w:type="pct"/>
            <w:tcBorders>
              <w:top w:val="single" w:sz="4" w:space="0" w:color="000000"/>
              <w:left w:val="single" w:sz="4" w:space="0" w:color="000000"/>
              <w:bottom w:val="single" w:sz="4" w:space="0" w:color="000000"/>
              <w:right w:val="single" w:sz="4" w:space="0" w:color="000000"/>
            </w:tcBorders>
            <w:hideMark/>
          </w:tcPr>
          <w:p w:rsidR="00925FAA" w:rsidRPr="00B31978" w:rsidRDefault="00925FAA" w:rsidP="00B31978">
            <w:pPr>
              <w:suppressAutoHyphens/>
              <w:snapToGrid w:val="0"/>
              <w:jc w:val="center"/>
              <w:rPr>
                <w:rFonts w:eastAsia="Lucida Sans Unicode"/>
                <w:kern w:val="2"/>
                <w:sz w:val="22"/>
                <w:szCs w:val="22"/>
                <w:lang w:eastAsia="ar-SA"/>
              </w:rPr>
            </w:pPr>
            <w:r w:rsidRPr="00B31978">
              <w:rPr>
                <w:lang w:eastAsia="ar-SA"/>
              </w:rPr>
              <w:t>Срок</w:t>
            </w:r>
          </w:p>
          <w:p w:rsidR="00925FAA" w:rsidRPr="00B31978" w:rsidRDefault="00925FAA" w:rsidP="00B31978">
            <w:pPr>
              <w:suppressAutoHyphens/>
              <w:snapToGrid w:val="0"/>
              <w:jc w:val="center"/>
              <w:rPr>
                <w:lang w:eastAsia="ar-SA"/>
              </w:rPr>
            </w:pPr>
            <w:r w:rsidRPr="00B31978">
              <w:rPr>
                <w:lang w:eastAsia="ar-SA"/>
              </w:rPr>
              <w:t>гарантии</w:t>
            </w:r>
          </w:p>
          <w:p w:rsidR="00925FAA" w:rsidRPr="00B31978" w:rsidRDefault="00925FAA" w:rsidP="002231EB">
            <w:pPr>
              <w:suppressAutoHyphens/>
              <w:snapToGrid w:val="0"/>
              <w:spacing w:line="276" w:lineRule="auto"/>
              <w:ind w:right="-108"/>
              <w:jc w:val="center"/>
              <w:rPr>
                <w:rFonts w:eastAsia="Lucida Sans Unicode"/>
                <w:kern w:val="2"/>
                <w:sz w:val="22"/>
                <w:szCs w:val="22"/>
                <w:lang w:eastAsia="ar-SA"/>
              </w:rPr>
            </w:pPr>
            <w:r w:rsidRPr="00B31978">
              <w:rPr>
                <w:lang w:eastAsia="ar-SA"/>
              </w:rPr>
              <w:t>(месяцев)</w:t>
            </w:r>
          </w:p>
        </w:tc>
      </w:tr>
      <w:tr w:rsidR="002231EB" w:rsidRPr="00B31978" w:rsidTr="002231EB">
        <w:tc>
          <w:tcPr>
            <w:tcW w:w="864" w:type="pct"/>
            <w:tcBorders>
              <w:top w:val="single" w:sz="4" w:space="0" w:color="auto"/>
              <w:left w:val="single" w:sz="4" w:space="0" w:color="000000"/>
              <w:bottom w:val="single" w:sz="4" w:space="0" w:color="auto"/>
              <w:right w:val="nil"/>
            </w:tcBorders>
          </w:tcPr>
          <w:p w:rsidR="00F42B24" w:rsidRPr="00F42B24" w:rsidRDefault="00F42B24" w:rsidP="00017DB1">
            <w:pPr>
              <w:spacing w:after="60"/>
              <w:rPr>
                <w:sz w:val="22"/>
                <w:szCs w:val="22"/>
              </w:rPr>
            </w:pPr>
            <w:r w:rsidRPr="00F42B24">
              <w:rPr>
                <w:sz w:val="22"/>
                <w:szCs w:val="22"/>
              </w:rPr>
              <w:t xml:space="preserve">Протез </w:t>
            </w:r>
            <w:r w:rsidR="00017DB1">
              <w:rPr>
                <w:sz w:val="22"/>
                <w:szCs w:val="22"/>
              </w:rPr>
              <w:t>плеча с внешним источником энергии</w:t>
            </w:r>
            <w:r w:rsidR="00C65E2E">
              <w:rPr>
                <w:sz w:val="22"/>
                <w:szCs w:val="22"/>
              </w:rPr>
              <w:t xml:space="preserve"> (</w:t>
            </w:r>
            <w:r w:rsidR="00C65E2E" w:rsidRPr="00C65E2E">
              <w:rPr>
                <w:sz w:val="22"/>
                <w:szCs w:val="22"/>
              </w:rPr>
              <w:t>Протез плеча с микропроцессорным управлением</w:t>
            </w:r>
            <w:r w:rsidR="00C65E2E">
              <w:rPr>
                <w:sz w:val="22"/>
                <w:szCs w:val="22"/>
              </w:rPr>
              <w:t>)</w:t>
            </w:r>
          </w:p>
        </w:tc>
        <w:tc>
          <w:tcPr>
            <w:tcW w:w="2521" w:type="pct"/>
            <w:tcBorders>
              <w:top w:val="single" w:sz="4" w:space="0" w:color="auto"/>
              <w:left w:val="single" w:sz="4" w:space="0" w:color="000000"/>
              <w:bottom w:val="single" w:sz="4" w:space="0" w:color="auto"/>
              <w:right w:val="nil"/>
            </w:tcBorders>
          </w:tcPr>
          <w:p w:rsidR="00F42B24" w:rsidRPr="00017DB1" w:rsidRDefault="00017DB1" w:rsidP="00017DB1">
            <w:pPr>
              <w:spacing w:after="60"/>
              <w:rPr>
                <w:sz w:val="22"/>
                <w:szCs w:val="22"/>
              </w:rPr>
            </w:pPr>
            <w:r>
              <w:rPr>
                <w:sz w:val="22"/>
                <w:szCs w:val="22"/>
              </w:rPr>
              <w:t xml:space="preserve">Протез плеча с внешним источником энергии. Протез плеча с внешним источником энергии включает индивидуальное изготовление примерочной </w:t>
            </w:r>
            <w:proofErr w:type="spellStart"/>
            <w:r>
              <w:rPr>
                <w:sz w:val="22"/>
                <w:szCs w:val="22"/>
              </w:rPr>
              <w:t>культеприемной</w:t>
            </w:r>
            <w:proofErr w:type="spellEnd"/>
            <w:r>
              <w:rPr>
                <w:sz w:val="22"/>
                <w:szCs w:val="22"/>
              </w:rPr>
              <w:t xml:space="preserve">  гильзы из термопласта, постоянной из слоистого пластика с применением литьевых смол. </w:t>
            </w:r>
            <w:proofErr w:type="spellStart"/>
            <w:r>
              <w:rPr>
                <w:sz w:val="22"/>
                <w:szCs w:val="22"/>
              </w:rPr>
              <w:t>Культеприемная</w:t>
            </w:r>
            <w:proofErr w:type="spellEnd"/>
            <w:r>
              <w:rPr>
                <w:sz w:val="22"/>
                <w:szCs w:val="22"/>
              </w:rPr>
              <w:t xml:space="preserve"> гильза снабжена индивидуальным силиконовым лайнером, который служит фиксатором протеза. Несущая гильза плеча и предплечья соединяются локтевым шарниром, обеспечивающим фиксацию в 7 положениях сгибания. Фиксация замка осуществляется тяговым креплением. Литиево-ионный аккумулятор присоединен к несущей гильзе посредством крепежной рамки. Кисть присоединена к пластиковому предплечью локтевого модуля посредством муфты. Кабели электродов и кабель соединения с аккумулятором проходят</w:t>
            </w:r>
            <w:r w:rsidR="000315B1">
              <w:rPr>
                <w:sz w:val="22"/>
                <w:szCs w:val="22"/>
              </w:rPr>
              <w:t xml:space="preserve"> внутри несущей гильзы и соединяются с коаксиальным штекером </w:t>
            </w:r>
            <w:proofErr w:type="spellStart"/>
            <w:r w:rsidR="000315B1">
              <w:rPr>
                <w:sz w:val="22"/>
                <w:szCs w:val="22"/>
              </w:rPr>
              <w:t>электрокисти</w:t>
            </w:r>
            <w:proofErr w:type="spellEnd"/>
            <w:r w:rsidR="000315B1">
              <w:rPr>
                <w:sz w:val="22"/>
                <w:szCs w:val="22"/>
              </w:rPr>
              <w:t xml:space="preserve">. 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служит заряжаемый литиево-ионный аккумулятор. Протез комплектуется косметической оболочкой из силикона. Технические характеристики </w:t>
            </w:r>
            <w:proofErr w:type="spellStart"/>
            <w:r w:rsidR="000315B1">
              <w:rPr>
                <w:sz w:val="22"/>
                <w:szCs w:val="22"/>
              </w:rPr>
              <w:t>электрокисти</w:t>
            </w:r>
            <w:proofErr w:type="spellEnd"/>
            <w:r w:rsidR="000315B1">
              <w:rPr>
                <w:sz w:val="22"/>
                <w:szCs w:val="22"/>
              </w:rPr>
              <w:t xml:space="preserve">: рабочее напряжение 6/7,2 В, рабочая температура 0-70 С, ширина раскрытия 100 мм., максимальное усилие захвата, 90 Н, средняя скорость 110мм/с, вес (с системным </w:t>
            </w:r>
            <w:r w:rsidR="000315B1">
              <w:rPr>
                <w:sz w:val="22"/>
                <w:szCs w:val="22"/>
              </w:rPr>
              <w:lastRenderedPageBreak/>
              <w:t xml:space="preserve">каркасом руки) 310 г. Технические характеристики литиево-ионного аккумулятора: емкость 900 </w:t>
            </w:r>
            <w:proofErr w:type="spellStart"/>
            <w:r w:rsidR="000315B1">
              <w:rPr>
                <w:sz w:val="22"/>
                <w:szCs w:val="22"/>
              </w:rPr>
              <w:t>мАч</w:t>
            </w:r>
            <w:proofErr w:type="spellEnd"/>
            <w:r w:rsidR="005E0BD1">
              <w:rPr>
                <w:sz w:val="22"/>
                <w:szCs w:val="22"/>
              </w:rPr>
              <w:t>, время до полной зарядки 3,5 часа, номинальное напряжение (среднее) 7,2</w:t>
            </w:r>
            <w:proofErr w:type="gramStart"/>
            <w:r w:rsidR="005E0BD1">
              <w:rPr>
                <w:sz w:val="22"/>
                <w:szCs w:val="22"/>
              </w:rPr>
              <w:t xml:space="preserve"> В</w:t>
            </w:r>
            <w:proofErr w:type="gramEnd"/>
            <w:r w:rsidR="005E0BD1">
              <w:rPr>
                <w:sz w:val="22"/>
                <w:szCs w:val="22"/>
              </w:rPr>
              <w:t>, вес 65 г.</w:t>
            </w:r>
          </w:p>
        </w:tc>
        <w:tc>
          <w:tcPr>
            <w:tcW w:w="452" w:type="pct"/>
            <w:tcBorders>
              <w:top w:val="single" w:sz="4" w:space="0" w:color="000000"/>
              <w:left w:val="single" w:sz="4" w:space="0" w:color="000000"/>
              <w:bottom w:val="single" w:sz="4" w:space="0" w:color="000000"/>
              <w:right w:val="nil"/>
            </w:tcBorders>
          </w:tcPr>
          <w:p w:rsidR="00F42B24" w:rsidRPr="00B31978" w:rsidRDefault="00F42B24" w:rsidP="00B31978">
            <w:pPr>
              <w:suppressAutoHyphens/>
              <w:snapToGrid w:val="0"/>
              <w:spacing w:line="276" w:lineRule="auto"/>
              <w:jc w:val="center"/>
              <w:rPr>
                <w:rFonts w:eastAsia="Lucida Sans Unicode"/>
                <w:kern w:val="2"/>
                <w:sz w:val="22"/>
                <w:szCs w:val="22"/>
                <w:lang w:eastAsia="ar-SA"/>
              </w:rPr>
            </w:pPr>
            <w:r>
              <w:rPr>
                <w:rFonts w:eastAsia="Lucida Sans Unicode"/>
                <w:kern w:val="2"/>
                <w:sz w:val="22"/>
                <w:szCs w:val="22"/>
                <w:lang w:eastAsia="ar-SA"/>
              </w:rPr>
              <w:lastRenderedPageBreak/>
              <w:t>1</w:t>
            </w:r>
          </w:p>
        </w:tc>
        <w:tc>
          <w:tcPr>
            <w:tcW w:w="591" w:type="pct"/>
            <w:tcBorders>
              <w:top w:val="single" w:sz="4" w:space="0" w:color="000000"/>
              <w:left w:val="single" w:sz="4" w:space="0" w:color="000000"/>
              <w:bottom w:val="single" w:sz="4" w:space="0" w:color="000000"/>
              <w:right w:val="single" w:sz="4" w:space="0" w:color="000000"/>
            </w:tcBorders>
          </w:tcPr>
          <w:p w:rsidR="00F42B24" w:rsidRPr="00B31978" w:rsidRDefault="00F42B24" w:rsidP="002231EB">
            <w:pPr>
              <w:suppressAutoHyphens/>
              <w:snapToGrid w:val="0"/>
              <w:spacing w:line="276" w:lineRule="auto"/>
              <w:rPr>
                <w:rFonts w:eastAsia="Lucida Sans Unicode"/>
                <w:kern w:val="2"/>
                <w:sz w:val="22"/>
                <w:szCs w:val="22"/>
                <w:lang w:eastAsia="ar-SA"/>
              </w:rPr>
            </w:pPr>
            <w:r w:rsidRPr="00CC1B9F">
              <w:rPr>
                <w:rFonts w:eastAsia="Lucida Sans Unicode"/>
                <w:kern w:val="2"/>
                <w:sz w:val="22"/>
                <w:szCs w:val="22"/>
                <w:lang w:eastAsia="ar-SA"/>
              </w:rPr>
              <w:t xml:space="preserve">Не более </w:t>
            </w:r>
            <w:r w:rsidR="002231EB">
              <w:rPr>
                <w:rFonts w:eastAsia="Lucida Sans Unicode"/>
                <w:kern w:val="2"/>
                <w:sz w:val="22"/>
                <w:szCs w:val="22"/>
                <w:lang w:eastAsia="ar-SA"/>
              </w:rPr>
              <w:t>3</w:t>
            </w:r>
            <w:r w:rsidRPr="00CC1B9F">
              <w:rPr>
                <w:rFonts w:eastAsia="Lucida Sans Unicode"/>
                <w:kern w:val="2"/>
                <w:sz w:val="22"/>
                <w:szCs w:val="22"/>
                <w:lang w:eastAsia="ar-SA"/>
              </w:rPr>
              <w:t>0</w:t>
            </w:r>
          </w:p>
        </w:tc>
        <w:tc>
          <w:tcPr>
            <w:tcW w:w="572" w:type="pct"/>
            <w:tcBorders>
              <w:top w:val="single" w:sz="4" w:space="0" w:color="000000"/>
              <w:left w:val="single" w:sz="4" w:space="0" w:color="000000"/>
              <w:bottom w:val="single" w:sz="4" w:space="0" w:color="000000"/>
              <w:right w:val="single" w:sz="4" w:space="0" w:color="000000"/>
            </w:tcBorders>
          </w:tcPr>
          <w:p w:rsidR="00F42B24" w:rsidRPr="00B31978" w:rsidRDefault="00F42B24" w:rsidP="00942F2D">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Не менее  12 месяцев</w:t>
            </w:r>
          </w:p>
        </w:tc>
      </w:tr>
    </w:tbl>
    <w:p w:rsidR="008D1199" w:rsidRDefault="008D1199" w:rsidP="008D1199">
      <w:pPr>
        <w:ind w:right="-1" w:firstLine="709"/>
        <w:jc w:val="both"/>
        <w:rPr>
          <w:bCs/>
          <w:iCs/>
        </w:rPr>
      </w:pPr>
    </w:p>
    <w:p w:rsidR="00B31978" w:rsidRDefault="00B31978" w:rsidP="008D1199">
      <w:pPr>
        <w:ind w:right="-1" w:firstLine="709"/>
        <w:jc w:val="both"/>
        <w:rPr>
          <w:bCs/>
          <w:iCs/>
        </w:rPr>
      </w:pPr>
    </w:p>
    <w:p w:rsidR="00A47FC4" w:rsidRPr="00A47FC4" w:rsidRDefault="00A47FC4" w:rsidP="00A47FC4">
      <w:bookmarkStart w:id="0" w:name="_GoBack"/>
      <w:bookmarkEnd w:id="0"/>
    </w:p>
    <w:p w:rsidR="00A47FC4" w:rsidRPr="00BC7C90" w:rsidRDefault="00A47FC4" w:rsidP="00BC7C90"/>
    <w:sectPr w:rsidR="00A47FC4" w:rsidRPr="00BC7C90"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17DB1"/>
    <w:rsid w:val="000315B1"/>
    <w:rsid w:val="000400E0"/>
    <w:rsid w:val="00041E30"/>
    <w:rsid w:val="000526FD"/>
    <w:rsid w:val="00073D40"/>
    <w:rsid w:val="000740AC"/>
    <w:rsid w:val="000802A5"/>
    <w:rsid w:val="00081FED"/>
    <w:rsid w:val="0008360D"/>
    <w:rsid w:val="00095D84"/>
    <w:rsid w:val="00097107"/>
    <w:rsid w:val="000A401A"/>
    <w:rsid w:val="000C0F42"/>
    <w:rsid w:val="000D0BA0"/>
    <w:rsid w:val="000D2A53"/>
    <w:rsid w:val="000E0E19"/>
    <w:rsid w:val="000F6DE8"/>
    <w:rsid w:val="001031C3"/>
    <w:rsid w:val="001432D1"/>
    <w:rsid w:val="00167ED1"/>
    <w:rsid w:val="001A0A73"/>
    <w:rsid w:val="001B04F3"/>
    <w:rsid w:val="001B3353"/>
    <w:rsid w:val="001C6823"/>
    <w:rsid w:val="001E185A"/>
    <w:rsid w:val="001E60BE"/>
    <w:rsid w:val="001F7464"/>
    <w:rsid w:val="001F777D"/>
    <w:rsid w:val="002231EB"/>
    <w:rsid w:val="002552CB"/>
    <w:rsid w:val="002736E9"/>
    <w:rsid w:val="00291B4E"/>
    <w:rsid w:val="002A002E"/>
    <w:rsid w:val="002A3E99"/>
    <w:rsid w:val="002A5850"/>
    <w:rsid w:val="002A7341"/>
    <w:rsid w:val="002E16BD"/>
    <w:rsid w:val="002E5CDD"/>
    <w:rsid w:val="002E71FA"/>
    <w:rsid w:val="002F129E"/>
    <w:rsid w:val="002F2046"/>
    <w:rsid w:val="002F2320"/>
    <w:rsid w:val="002F5E14"/>
    <w:rsid w:val="003029AB"/>
    <w:rsid w:val="003212A6"/>
    <w:rsid w:val="00337FDB"/>
    <w:rsid w:val="00346E2B"/>
    <w:rsid w:val="00361652"/>
    <w:rsid w:val="00364584"/>
    <w:rsid w:val="00366B88"/>
    <w:rsid w:val="00381C74"/>
    <w:rsid w:val="0038742C"/>
    <w:rsid w:val="0039280D"/>
    <w:rsid w:val="003A45B3"/>
    <w:rsid w:val="003B4AC3"/>
    <w:rsid w:val="003C6934"/>
    <w:rsid w:val="003F1E32"/>
    <w:rsid w:val="003F390B"/>
    <w:rsid w:val="0040604C"/>
    <w:rsid w:val="00430FF1"/>
    <w:rsid w:val="00443722"/>
    <w:rsid w:val="00493504"/>
    <w:rsid w:val="00495C1A"/>
    <w:rsid w:val="00496C36"/>
    <w:rsid w:val="004B3975"/>
    <w:rsid w:val="004B3DF6"/>
    <w:rsid w:val="004B696A"/>
    <w:rsid w:val="004E58AF"/>
    <w:rsid w:val="00525D22"/>
    <w:rsid w:val="00534CDD"/>
    <w:rsid w:val="00571478"/>
    <w:rsid w:val="00580D60"/>
    <w:rsid w:val="005B05F1"/>
    <w:rsid w:val="005C1134"/>
    <w:rsid w:val="005E09A8"/>
    <w:rsid w:val="005E0BD1"/>
    <w:rsid w:val="005F2B02"/>
    <w:rsid w:val="00653C97"/>
    <w:rsid w:val="00657CCB"/>
    <w:rsid w:val="00693909"/>
    <w:rsid w:val="006E0B0C"/>
    <w:rsid w:val="006F31C6"/>
    <w:rsid w:val="00700BBD"/>
    <w:rsid w:val="007036F4"/>
    <w:rsid w:val="00710C6E"/>
    <w:rsid w:val="00720E34"/>
    <w:rsid w:val="00723168"/>
    <w:rsid w:val="00733E28"/>
    <w:rsid w:val="007428A0"/>
    <w:rsid w:val="00757E40"/>
    <w:rsid w:val="007736B9"/>
    <w:rsid w:val="00783542"/>
    <w:rsid w:val="00784883"/>
    <w:rsid w:val="007A3354"/>
    <w:rsid w:val="007C3B66"/>
    <w:rsid w:val="007D66C6"/>
    <w:rsid w:val="007E10B3"/>
    <w:rsid w:val="007E5070"/>
    <w:rsid w:val="007F4EE3"/>
    <w:rsid w:val="00837F3E"/>
    <w:rsid w:val="008414BC"/>
    <w:rsid w:val="00884380"/>
    <w:rsid w:val="00890FE8"/>
    <w:rsid w:val="008A17F6"/>
    <w:rsid w:val="008C6B9A"/>
    <w:rsid w:val="008D1199"/>
    <w:rsid w:val="008E4658"/>
    <w:rsid w:val="008E56F0"/>
    <w:rsid w:val="008F5647"/>
    <w:rsid w:val="009172D9"/>
    <w:rsid w:val="00920166"/>
    <w:rsid w:val="00925FAA"/>
    <w:rsid w:val="00936D8F"/>
    <w:rsid w:val="009407F1"/>
    <w:rsid w:val="00942F2D"/>
    <w:rsid w:val="009C5618"/>
    <w:rsid w:val="009D598E"/>
    <w:rsid w:val="00A011C6"/>
    <w:rsid w:val="00A133D6"/>
    <w:rsid w:val="00A15540"/>
    <w:rsid w:val="00A27DE2"/>
    <w:rsid w:val="00A345AE"/>
    <w:rsid w:val="00A43D21"/>
    <w:rsid w:val="00A45C5C"/>
    <w:rsid w:val="00A47FC4"/>
    <w:rsid w:val="00A52CA9"/>
    <w:rsid w:val="00A565CF"/>
    <w:rsid w:val="00A752C6"/>
    <w:rsid w:val="00A772BE"/>
    <w:rsid w:val="00A86F01"/>
    <w:rsid w:val="00A876CD"/>
    <w:rsid w:val="00A8777B"/>
    <w:rsid w:val="00A932DA"/>
    <w:rsid w:val="00AC3CC4"/>
    <w:rsid w:val="00AD03B9"/>
    <w:rsid w:val="00AF3B28"/>
    <w:rsid w:val="00B31978"/>
    <w:rsid w:val="00B93484"/>
    <w:rsid w:val="00B9547A"/>
    <w:rsid w:val="00B968E5"/>
    <w:rsid w:val="00BA1B53"/>
    <w:rsid w:val="00BA1D8D"/>
    <w:rsid w:val="00BB453E"/>
    <w:rsid w:val="00BB47C4"/>
    <w:rsid w:val="00BB7437"/>
    <w:rsid w:val="00BC7C90"/>
    <w:rsid w:val="00C0371E"/>
    <w:rsid w:val="00C14ED8"/>
    <w:rsid w:val="00C20776"/>
    <w:rsid w:val="00C21B89"/>
    <w:rsid w:val="00C30921"/>
    <w:rsid w:val="00C42751"/>
    <w:rsid w:val="00C65E2E"/>
    <w:rsid w:val="00CB4B42"/>
    <w:rsid w:val="00CB5086"/>
    <w:rsid w:val="00CB5FC8"/>
    <w:rsid w:val="00CC08BB"/>
    <w:rsid w:val="00CC1B9F"/>
    <w:rsid w:val="00CC6212"/>
    <w:rsid w:val="00CE0CAD"/>
    <w:rsid w:val="00D075BF"/>
    <w:rsid w:val="00D426AB"/>
    <w:rsid w:val="00D642D9"/>
    <w:rsid w:val="00D83604"/>
    <w:rsid w:val="00D95546"/>
    <w:rsid w:val="00DC5CC0"/>
    <w:rsid w:val="00DF4E71"/>
    <w:rsid w:val="00DF7420"/>
    <w:rsid w:val="00E11629"/>
    <w:rsid w:val="00E14833"/>
    <w:rsid w:val="00E156A1"/>
    <w:rsid w:val="00E339EF"/>
    <w:rsid w:val="00E509B3"/>
    <w:rsid w:val="00E52751"/>
    <w:rsid w:val="00E64C6E"/>
    <w:rsid w:val="00E952DA"/>
    <w:rsid w:val="00EA0E05"/>
    <w:rsid w:val="00EB782D"/>
    <w:rsid w:val="00EC3A74"/>
    <w:rsid w:val="00EC49D7"/>
    <w:rsid w:val="00ED2E73"/>
    <w:rsid w:val="00EF0FE5"/>
    <w:rsid w:val="00F15972"/>
    <w:rsid w:val="00F23AFB"/>
    <w:rsid w:val="00F42B24"/>
    <w:rsid w:val="00F63832"/>
    <w:rsid w:val="00F63FAB"/>
    <w:rsid w:val="00F8144D"/>
    <w:rsid w:val="00FA00CC"/>
    <w:rsid w:val="00FA15D5"/>
    <w:rsid w:val="00FB0976"/>
    <w:rsid w:val="00FC39E2"/>
    <w:rsid w:val="00FC7220"/>
    <w:rsid w:val="00FD1B1F"/>
    <w:rsid w:val="00FD3006"/>
    <w:rsid w:val="00FF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 w:type="paragraph" w:styleId="aa">
    <w:name w:val="List Paragraph"/>
    <w:aliases w:val="Нумерованый список,Bullet List,FooterText,numbered,SL_Абзац списка"/>
    <w:basedOn w:val="a"/>
    <w:link w:val="ab"/>
    <w:uiPriority w:val="34"/>
    <w:qFormat/>
    <w:rsid w:val="00F8144D"/>
    <w:pPr>
      <w:ind w:left="720" w:firstLine="720"/>
      <w:contextualSpacing/>
      <w:jc w:val="both"/>
    </w:pPr>
    <w:rPr>
      <w:rFonts w:eastAsia="Calibri"/>
      <w:sz w:val="28"/>
      <w:szCs w:val="22"/>
      <w:lang w:eastAsia="en-US"/>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F8144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 w:type="paragraph" w:styleId="aa">
    <w:name w:val="List Paragraph"/>
    <w:aliases w:val="Нумерованый список,Bullet List,FooterText,numbered,SL_Абзац списка"/>
    <w:basedOn w:val="a"/>
    <w:link w:val="ab"/>
    <w:uiPriority w:val="34"/>
    <w:qFormat/>
    <w:rsid w:val="00F8144D"/>
    <w:pPr>
      <w:ind w:left="720" w:firstLine="720"/>
      <w:contextualSpacing/>
      <w:jc w:val="both"/>
    </w:pPr>
    <w:rPr>
      <w:rFonts w:eastAsia="Calibri"/>
      <w:sz w:val="28"/>
      <w:szCs w:val="22"/>
      <w:lang w:eastAsia="en-US"/>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F8144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650">
      <w:bodyDiv w:val="1"/>
      <w:marLeft w:val="0"/>
      <w:marRight w:val="0"/>
      <w:marTop w:val="0"/>
      <w:marBottom w:val="0"/>
      <w:divBdr>
        <w:top w:val="none" w:sz="0" w:space="0" w:color="auto"/>
        <w:left w:val="none" w:sz="0" w:space="0" w:color="auto"/>
        <w:bottom w:val="none" w:sz="0" w:space="0" w:color="auto"/>
        <w:right w:val="none" w:sz="0" w:space="0" w:color="auto"/>
      </w:divBdr>
    </w:div>
    <w:div w:id="1357463038">
      <w:bodyDiv w:val="1"/>
      <w:marLeft w:val="0"/>
      <w:marRight w:val="0"/>
      <w:marTop w:val="0"/>
      <w:marBottom w:val="0"/>
      <w:divBdr>
        <w:top w:val="none" w:sz="0" w:space="0" w:color="auto"/>
        <w:left w:val="none" w:sz="0" w:space="0" w:color="auto"/>
        <w:bottom w:val="none" w:sz="0" w:space="0" w:color="auto"/>
        <w:right w:val="none" w:sz="0" w:space="0" w:color="auto"/>
      </w:divBdr>
    </w:div>
    <w:div w:id="1620642140">
      <w:bodyDiv w:val="1"/>
      <w:marLeft w:val="0"/>
      <w:marRight w:val="0"/>
      <w:marTop w:val="0"/>
      <w:marBottom w:val="0"/>
      <w:divBdr>
        <w:top w:val="none" w:sz="0" w:space="0" w:color="auto"/>
        <w:left w:val="none" w:sz="0" w:space="0" w:color="auto"/>
        <w:bottom w:val="none" w:sz="0" w:space="0" w:color="auto"/>
        <w:right w:val="none" w:sz="0" w:space="0" w:color="auto"/>
      </w:divBdr>
    </w:div>
    <w:div w:id="1816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EDE8-19B4-4DA7-BF0A-A849F760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kushchev_vn</cp:lastModifiedBy>
  <cp:revision>10</cp:revision>
  <cp:lastPrinted>2021-08-02T07:52:00Z</cp:lastPrinted>
  <dcterms:created xsi:type="dcterms:W3CDTF">2018-10-04T14:34:00Z</dcterms:created>
  <dcterms:modified xsi:type="dcterms:W3CDTF">2021-10-14T14:59:00Z</dcterms:modified>
</cp:coreProperties>
</file>