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AB3CC5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AB3CC5">
        <w:rPr>
          <w:color w:val="0000FF"/>
          <w:sz w:val="26"/>
          <w:szCs w:val="26"/>
        </w:rPr>
        <w:t>нарушениях</w:t>
      </w:r>
      <w:proofErr w:type="gramEnd"/>
      <w:r w:rsidRPr="00AB3CC5">
        <w:rPr>
          <w:color w:val="0000FF"/>
          <w:sz w:val="26"/>
          <w:szCs w:val="26"/>
        </w:rPr>
        <w:t xml:space="preserve"> функций выделения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396644" w:rsidRPr="00D41B87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C67E2C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Наименование и описание объекта закупк</w:t>
      </w:r>
      <w:r w:rsidR="00D46361" w:rsidRPr="00D41B87">
        <w:rPr>
          <w:b/>
          <w:sz w:val="26"/>
          <w:szCs w:val="26"/>
        </w:rPr>
        <w:t>и</w:t>
      </w:r>
      <w:r w:rsidRPr="00D41B87">
        <w:rPr>
          <w:b/>
          <w:sz w:val="26"/>
          <w:szCs w:val="26"/>
        </w:rPr>
        <w:t>:</w:t>
      </w:r>
    </w:p>
    <w:p w:rsidR="00C67E2C" w:rsidRPr="00D41B87" w:rsidRDefault="00C67E2C" w:rsidP="00C67E2C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Специальные средства при </w:t>
      </w:r>
      <w:proofErr w:type="gramStart"/>
      <w:r w:rsidRPr="00D41B87">
        <w:rPr>
          <w:sz w:val="26"/>
          <w:szCs w:val="26"/>
        </w:rPr>
        <w:t>нарушениях</w:t>
      </w:r>
      <w:proofErr w:type="gramEnd"/>
      <w:r w:rsidRPr="00D41B87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</w:t>
      </w:r>
      <w:r w:rsidRPr="00D41B87">
        <w:rPr>
          <w:sz w:val="26"/>
          <w:szCs w:val="26"/>
        </w:rPr>
        <w:t>и</w:t>
      </w:r>
      <w:r w:rsidRPr="00D41B87">
        <w:rPr>
          <w:sz w:val="26"/>
          <w:szCs w:val="26"/>
        </w:rPr>
        <w:t xml:space="preserve">ям. </w:t>
      </w:r>
    </w:p>
    <w:p w:rsidR="00C67E2C" w:rsidRPr="00D41B87" w:rsidRDefault="00C67E2C" w:rsidP="00C67E2C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Общее количество поставляемого товара – </w:t>
      </w:r>
      <w:r w:rsidRPr="00D41B87">
        <w:rPr>
          <w:b/>
          <w:sz w:val="26"/>
          <w:szCs w:val="26"/>
        </w:rPr>
        <w:t>5 531</w:t>
      </w:r>
      <w:r w:rsidRPr="00D41B87">
        <w:rPr>
          <w:sz w:val="26"/>
          <w:szCs w:val="26"/>
        </w:rPr>
        <w:t xml:space="preserve"> штук.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widowControl/>
        <w:numPr>
          <w:ilvl w:val="0"/>
          <w:numId w:val="1"/>
        </w:numPr>
        <w:suppressAutoHyphens/>
        <w:autoSpaceDE w:val="0"/>
        <w:autoSpaceDN w:val="0"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kern w:val="1"/>
          <w:sz w:val="26"/>
          <w:szCs w:val="26"/>
          <w:lang w:eastAsia="ar-SA"/>
        </w:rPr>
        <w:t xml:space="preserve">Катетер мочеточниковый для </w:t>
      </w:r>
      <w:proofErr w:type="spellStart"/>
      <w:r w:rsidRPr="00D41B87">
        <w:rPr>
          <w:b/>
          <w:kern w:val="1"/>
          <w:sz w:val="26"/>
          <w:szCs w:val="26"/>
          <w:lang w:eastAsia="ar-SA"/>
        </w:rPr>
        <w:t>уретерокутанеостомы</w:t>
      </w:r>
      <w:proofErr w:type="spellEnd"/>
      <w:r w:rsidRPr="00D41B87">
        <w:rPr>
          <w:b/>
          <w:bCs/>
          <w:color w:val="000000"/>
          <w:sz w:val="26"/>
          <w:szCs w:val="26"/>
        </w:rPr>
        <w:t>, 111 штук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spellStart"/>
      <w:r w:rsidRPr="00D41B87">
        <w:rPr>
          <w:sz w:val="26"/>
          <w:szCs w:val="26"/>
        </w:rPr>
        <w:t>Одноходовый</w:t>
      </w:r>
      <w:proofErr w:type="spellEnd"/>
      <w:r w:rsidRPr="00D41B87">
        <w:rPr>
          <w:sz w:val="26"/>
          <w:szCs w:val="26"/>
        </w:rPr>
        <w:t xml:space="preserve"> </w:t>
      </w:r>
      <w:proofErr w:type="spellStart"/>
      <w:r w:rsidRPr="00D41B87">
        <w:rPr>
          <w:sz w:val="26"/>
          <w:szCs w:val="26"/>
        </w:rPr>
        <w:t>безбаллонный</w:t>
      </w:r>
      <w:proofErr w:type="spellEnd"/>
      <w:r w:rsidRPr="00D41B87">
        <w:rPr>
          <w:sz w:val="26"/>
          <w:szCs w:val="26"/>
        </w:rPr>
        <w:t xml:space="preserve"> урологический  катетер, используется для отведения мочи через </w:t>
      </w:r>
      <w:proofErr w:type="spellStart"/>
      <w:r w:rsidRPr="00D41B87">
        <w:rPr>
          <w:sz w:val="26"/>
          <w:szCs w:val="26"/>
        </w:rPr>
        <w:t>уретерокутанеостому</w:t>
      </w:r>
      <w:proofErr w:type="spellEnd"/>
      <w:r w:rsidRPr="00D41B87">
        <w:rPr>
          <w:sz w:val="26"/>
          <w:szCs w:val="26"/>
        </w:rPr>
        <w:t xml:space="preserve">, прямого типа или J типа (с петлей на почечном кончике), круглый или овальный фланец для крепления к коже, с отверстиями на конце. Катетер изготовлен из полимерного материала. Длина катетера составляет не менее 40 см., 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Катетер имеет следующие размеры: </w:t>
      </w:r>
      <w:proofErr w:type="spellStart"/>
      <w:r w:rsidRPr="00D41B87">
        <w:rPr>
          <w:b/>
          <w:sz w:val="26"/>
          <w:szCs w:val="26"/>
        </w:rPr>
        <w:t>Ch</w:t>
      </w:r>
      <w:proofErr w:type="spellEnd"/>
      <w:r w:rsidRPr="00D41B87">
        <w:rPr>
          <w:b/>
          <w:sz w:val="26"/>
          <w:szCs w:val="26"/>
        </w:rPr>
        <w:t xml:space="preserve"> 8, 10, 12, 14, 16</w:t>
      </w:r>
      <w:r w:rsidRPr="00D41B87">
        <w:rPr>
          <w:sz w:val="26"/>
          <w:szCs w:val="26"/>
        </w:rPr>
        <w:t xml:space="preserve"> (конкретный размер  определяется  с учетом индивидуальной потребности получателя). Катетер стерилен и находиться в индивидуальной упаковке, (в соответствии с п. 3.41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58235-2018).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C67E2C">
      <w:pPr>
        <w:widowControl/>
        <w:numPr>
          <w:ilvl w:val="0"/>
          <w:numId w:val="1"/>
        </w:numPr>
        <w:suppressAutoHyphens/>
        <w:autoSpaceDE w:val="0"/>
        <w:autoSpaceDN w:val="0"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 xml:space="preserve">Анальный тампон (средство ухода при </w:t>
      </w:r>
      <w:proofErr w:type="gramStart"/>
      <w:r w:rsidRPr="00D41B87">
        <w:rPr>
          <w:b/>
          <w:sz w:val="26"/>
          <w:szCs w:val="26"/>
        </w:rPr>
        <w:t>недержании</w:t>
      </w:r>
      <w:proofErr w:type="gramEnd"/>
      <w:r w:rsidRPr="00D41B87">
        <w:rPr>
          <w:b/>
          <w:sz w:val="26"/>
          <w:szCs w:val="26"/>
        </w:rPr>
        <w:t xml:space="preserve"> кала), 2 000 шт.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Анальный тампон из вспененного полиуретана, покрытый растворимой пленкой, со шнуром для удаления тампона из хлопка имеет форму и размер анальной свечи. Размер большой 45 мм или маленький  37 мм (в зависимости от индивидуальных потребностей инвалида), (в соответствии с п. 3.47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58235-2018).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C67E2C" w:rsidRPr="00D41B87" w:rsidRDefault="00C67E2C" w:rsidP="00C67E2C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 xml:space="preserve">Тампон для </w:t>
      </w:r>
      <w:proofErr w:type="spellStart"/>
      <w:r w:rsidRPr="00D41B87">
        <w:rPr>
          <w:b/>
          <w:sz w:val="26"/>
          <w:szCs w:val="26"/>
        </w:rPr>
        <w:t>стомы</w:t>
      </w:r>
      <w:proofErr w:type="spellEnd"/>
      <w:r w:rsidRPr="00D41B87">
        <w:rPr>
          <w:b/>
          <w:sz w:val="26"/>
          <w:szCs w:val="26"/>
        </w:rPr>
        <w:t>, 300 штук</w:t>
      </w:r>
    </w:p>
    <w:p w:rsidR="00C67E2C" w:rsidRPr="00D41B87" w:rsidRDefault="00C67E2C" w:rsidP="00C67E2C">
      <w:pPr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Тампон из полиуретана, покрытый </w:t>
      </w:r>
      <w:proofErr w:type="spellStart"/>
      <w:r w:rsidRPr="00D41B87">
        <w:rPr>
          <w:sz w:val="26"/>
          <w:szCs w:val="26"/>
        </w:rPr>
        <w:t>влагорасстворимой</w:t>
      </w:r>
      <w:proofErr w:type="spellEnd"/>
      <w:r w:rsidRPr="00D41B87">
        <w:rPr>
          <w:sz w:val="26"/>
          <w:szCs w:val="26"/>
        </w:rPr>
        <w:t xml:space="preserve">  пленкой, длиной не менее 35 мм, под </w:t>
      </w:r>
      <w:proofErr w:type="spellStart"/>
      <w:r w:rsidRPr="00D41B87">
        <w:rPr>
          <w:sz w:val="26"/>
          <w:szCs w:val="26"/>
        </w:rPr>
        <w:t>стому</w:t>
      </w:r>
      <w:proofErr w:type="spellEnd"/>
      <w:r w:rsidRPr="00D41B87">
        <w:rPr>
          <w:sz w:val="26"/>
          <w:szCs w:val="26"/>
        </w:rPr>
        <w:t xml:space="preserve"> различных размеров (в зависимости от индивидуальных потребностей инвалида), со встроенной плоской </w:t>
      </w:r>
      <w:proofErr w:type="spellStart"/>
      <w:r w:rsidRPr="00D41B87">
        <w:rPr>
          <w:sz w:val="26"/>
          <w:szCs w:val="26"/>
        </w:rPr>
        <w:t>гипоаллергенной</w:t>
      </w:r>
      <w:proofErr w:type="spellEnd"/>
      <w:r w:rsidRPr="00D41B87">
        <w:rPr>
          <w:sz w:val="26"/>
          <w:szCs w:val="26"/>
        </w:rPr>
        <w:t xml:space="preserve"> гидроколлоидной адгезивной пластиной  спиралевидной структуры, состоящей из двух чередующихся </w:t>
      </w:r>
      <w:proofErr w:type="spellStart"/>
      <w:r w:rsidRPr="00D41B87">
        <w:rPr>
          <w:sz w:val="26"/>
          <w:szCs w:val="26"/>
        </w:rPr>
        <w:t>адгезивов</w:t>
      </w:r>
      <w:proofErr w:type="spellEnd"/>
      <w:r w:rsidRPr="00D41B87">
        <w:rPr>
          <w:sz w:val="26"/>
          <w:szCs w:val="26"/>
        </w:rPr>
        <w:t xml:space="preserve">,  с защитным покрытием и с угольным фильтром, (в соответствии с п. 5.4.2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Очиститель для кожи во флаконе, 820 штук.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Средство для очищения поверхности кожи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 предназначено для удаления с кожи остатков </w:t>
      </w:r>
      <w:proofErr w:type="spellStart"/>
      <w:r w:rsidRPr="00D41B87">
        <w:rPr>
          <w:sz w:val="26"/>
          <w:szCs w:val="26"/>
        </w:rPr>
        <w:t>адгезивов</w:t>
      </w:r>
      <w:proofErr w:type="spellEnd"/>
      <w:r w:rsidRPr="00D41B87">
        <w:rPr>
          <w:sz w:val="26"/>
          <w:szCs w:val="26"/>
        </w:rPr>
        <w:t>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Форма выпуска – во флаконе, объем средства не менее 180 мл., (в соответствии с п. 5.6.4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proofErr w:type="gramStart"/>
      <w:r w:rsidRPr="00D41B87">
        <w:rPr>
          <w:b/>
          <w:sz w:val="26"/>
          <w:szCs w:val="26"/>
        </w:rPr>
        <w:t>Паста-герметик</w:t>
      </w:r>
      <w:proofErr w:type="gramEnd"/>
      <w:r w:rsidRPr="00D41B87">
        <w:rPr>
          <w:b/>
          <w:sz w:val="26"/>
          <w:szCs w:val="26"/>
        </w:rPr>
        <w:t xml:space="preserve"> для защиты и выравнивания кожи вокруг </w:t>
      </w:r>
      <w:proofErr w:type="spellStart"/>
      <w:r w:rsidRPr="00D41B87">
        <w:rPr>
          <w:b/>
          <w:sz w:val="26"/>
          <w:szCs w:val="26"/>
        </w:rPr>
        <w:t>стомы</w:t>
      </w:r>
      <w:proofErr w:type="spellEnd"/>
      <w:r w:rsidRPr="00D41B87">
        <w:rPr>
          <w:b/>
          <w:sz w:val="26"/>
          <w:szCs w:val="26"/>
        </w:rPr>
        <w:t xml:space="preserve"> в полосках,      800 штук.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Моделируемая паста плотной - эластичной консистенции в полосках для защиты кожи, герметизации пластины </w:t>
      </w:r>
      <w:proofErr w:type="spellStart"/>
      <w:r w:rsidRPr="00D41B87">
        <w:rPr>
          <w:sz w:val="26"/>
          <w:szCs w:val="26"/>
        </w:rPr>
        <w:t>уроприемников</w:t>
      </w:r>
      <w:proofErr w:type="spellEnd"/>
      <w:r w:rsidRPr="00D41B87">
        <w:rPr>
          <w:sz w:val="26"/>
          <w:szCs w:val="26"/>
        </w:rPr>
        <w:t xml:space="preserve"> и калоприемников, выравнивания кожи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. Форма выпуска – полоска массой не менее 6 гр. в индивидуальной упаковке, (в соответствии с п. 5.6.5.2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Защитная пленка во флаконе, 400 штук.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Защитное,  водоотталкивающее средство, предохраняющее кожу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 от агрессивного воздействия выделений из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 и механических повреждений при </w:t>
      </w:r>
      <w:proofErr w:type="gramStart"/>
      <w:r w:rsidRPr="00D41B87">
        <w:rPr>
          <w:sz w:val="26"/>
          <w:szCs w:val="26"/>
        </w:rPr>
        <w:t>удалении</w:t>
      </w:r>
      <w:proofErr w:type="gramEnd"/>
      <w:r w:rsidRPr="00D41B87">
        <w:rPr>
          <w:sz w:val="26"/>
          <w:szCs w:val="26"/>
        </w:rPr>
        <w:t xml:space="preserve"> адгезивной пластины, при нанесении и высыхании должно образовывать на </w:t>
      </w:r>
      <w:r w:rsidRPr="00D41B87">
        <w:rPr>
          <w:sz w:val="26"/>
          <w:szCs w:val="26"/>
        </w:rPr>
        <w:lastRenderedPageBreak/>
        <w:t>коже полупроводящую эластичную защитную пленку, устойчивую к воздействию воды.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Форма выпуска – во флаконе, объем средства не менее 50 мл, (в соответствии с п. 5.6.6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58237-2018).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numPr>
          <w:ilvl w:val="0"/>
          <w:numId w:val="1"/>
        </w:numPr>
        <w:suppressAutoHyphens/>
        <w:spacing w:line="240" w:lineRule="auto"/>
        <w:ind w:hanging="1080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Пудра (порошок) абсорбирующая в тубе, 1 100 штук.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Мелкодисперсное абсорбирующее вещество для ухода за раздраженной мокнущей кожей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. Форма выпуска – туба, масса средства не менее 25 гр., (в соответствии с п. 5.6.2 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58237-2018).</w:t>
      </w:r>
    </w:p>
    <w:p w:rsidR="00C67E2C" w:rsidRPr="00D41B87" w:rsidRDefault="00C67E2C" w:rsidP="00C67E2C">
      <w:pPr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Место поставки</w:t>
      </w:r>
      <w:r w:rsidRPr="00D41B87">
        <w:rPr>
          <w:sz w:val="26"/>
          <w:szCs w:val="26"/>
        </w:rPr>
        <w:t>:</w:t>
      </w: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D41B87">
        <w:rPr>
          <w:sz w:val="26"/>
          <w:szCs w:val="26"/>
        </w:rPr>
        <w:t>Получателя</w:t>
      </w:r>
      <w:proofErr w:type="gramEnd"/>
      <w:r w:rsidRPr="00D41B87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Срок поставки товара</w:t>
      </w:r>
      <w:r w:rsidR="00880C8E">
        <w:rPr>
          <w:b/>
          <w:sz w:val="26"/>
          <w:szCs w:val="26"/>
        </w:rPr>
        <w:t>:</w:t>
      </w:r>
      <w:bookmarkStart w:id="0" w:name="_GoBack"/>
      <w:bookmarkEnd w:id="0"/>
    </w:p>
    <w:p w:rsidR="00D46361" w:rsidRPr="00D41B87" w:rsidRDefault="00D46361" w:rsidP="00D46361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D41B87">
        <w:rPr>
          <w:sz w:val="26"/>
          <w:szCs w:val="26"/>
        </w:rPr>
        <w:t>С даты получения</w:t>
      </w:r>
      <w:proofErr w:type="gramEnd"/>
      <w:r w:rsidRPr="00D41B87">
        <w:rPr>
          <w:sz w:val="26"/>
          <w:szCs w:val="26"/>
        </w:rPr>
        <w:t xml:space="preserve"> от Заказчика реестра получателей Товара до </w:t>
      </w:r>
      <w:r w:rsidRPr="00D41B87">
        <w:rPr>
          <w:color w:val="0000FF"/>
          <w:sz w:val="26"/>
          <w:szCs w:val="26"/>
        </w:rPr>
        <w:t>10 августа 2022</w:t>
      </w:r>
      <w:r w:rsidRPr="00D41B87">
        <w:rPr>
          <w:sz w:val="26"/>
          <w:szCs w:val="26"/>
        </w:rPr>
        <w:t xml:space="preserve"> года. Поставка товара Получателям не должна превышать </w:t>
      </w:r>
      <w:r w:rsidRPr="00D41B87">
        <w:rPr>
          <w:color w:val="0000FF"/>
          <w:sz w:val="26"/>
          <w:szCs w:val="26"/>
        </w:rPr>
        <w:t>30</w:t>
      </w:r>
      <w:r w:rsidRPr="00D41B87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D41B87">
        <w:rPr>
          <w:color w:val="0000FF"/>
          <w:sz w:val="26"/>
          <w:szCs w:val="26"/>
        </w:rPr>
        <w:t>7</w:t>
      </w:r>
      <w:r w:rsidRPr="00D41B87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D46361" w:rsidRPr="00D41B87" w:rsidRDefault="00D46361" w:rsidP="00C67E2C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D41B87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CF3115" w:rsidRPr="00D41B87" w:rsidRDefault="00CF3115" w:rsidP="00CF3115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D41B87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67E2C" w:rsidRPr="00D41B87" w:rsidRDefault="00C67E2C" w:rsidP="00C67E2C">
      <w:pPr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D41B87">
        <w:rPr>
          <w:color w:val="0000FF"/>
          <w:sz w:val="26"/>
          <w:szCs w:val="26"/>
        </w:rPr>
        <w:t>нарушениях</w:t>
      </w:r>
      <w:proofErr w:type="gramEnd"/>
      <w:r w:rsidRPr="00D41B87">
        <w:rPr>
          <w:color w:val="0000FF"/>
          <w:sz w:val="26"/>
          <w:szCs w:val="26"/>
        </w:rPr>
        <w:t xml:space="preserve"> функций выделения</w:t>
      </w:r>
      <w:r w:rsidRPr="00D41B87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C67E2C" w:rsidRPr="00D41B87" w:rsidRDefault="00C67E2C" w:rsidP="00C67E2C">
      <w:pPr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D41B87">
        <w:rPr>
          <w:sz w:val="26"/>
          <w:szCs w:val="26"/>
        </w:rPr>
        <w:t>стомами</w:t>
      </w:r>
      <w:proofErr w:type="spellEnd"/>
      <w:r w:rsidRPr="00D41B87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C67E2C" w:rsidRPr="00D41B87" w:rsidRDefault="00C67E2C" w:rsidP="00C67E2C">
      <w:pPr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D41B87">
        <w:rPr>
          <w:sz w:val="26"/>
          <w:szCs w:val="26"/>
        </w:rPr>
        <w:t>Р</w:t>
      </w:r>
      <w:proofErr w:type="gramEnd"/>
      <w:r w:rsidRPr="00D41B87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D41B87">
        <w:rPr>
          <w:sz w:val="26"/>
          <w:szCs w:val="26"/>
        </w:rPr>
        <w:t>стомами</w:t>
      </w:r>
      <w:proofErr w:type="spellEnd"/>
      <w:r w:rsidRPr="00D41B87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D41B87">
        <w:rPr>
          <w:sz w:val="26"/>
          <w:szCs w:val="26"/>
        </w:rPr>
        <w:t>стомы</w:t>
      </w:r>
      <w:proofErr w:type="spellEnd"/>
      <w:r w:rsidRPr="00D41B87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67E2C" w:rsidRPr="00D41B87" w:rsidRDefault="00C67E2C" w:rsidP="00C67E2C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Требования к комплектности, маркировке, упаковке ТСР:</w:t>
      </w:r>
    </w:p>
    <w:p w:rsidR="00C67E2C" w:rsidRPr="00D41B87" w:rsidRDefault="00C67E2C" w:rsidP="00C67E2C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D41B87">
        <w:rPr>
          <w:sz w:val="26"/>
          <w:szCs w:val="26"/>
        </w:rPr>
        <w:lastRenderedPageBreak/>
        <w:t>Упак</w:t>
      </w:r>
      <w:r w:rsidRPr="00D41B87">
        <w:rPr>
          <w:rFonts w:eastAsia="Arial CYR"/>
          <w:sz w:val="26"/>
          <w:szCs w:val="26"/>
        </w:rPr>
        <w:t xml:space="preserve">овка </w:t>
      </w:r>
      <w:r w:rsidRPr="00D41B87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D41B87">
        <w:rPr>
          <w:color w:val="0000FF"/>
          <w:sz w:val="26"/>
          <w:szCs w:val="26"/>
        </w:rPr>
        <w:t>нарушениях</w:t>
      </w:r>
      <w:proofErr w:type="gramEnd"/>
      <w:r w:rsidRPr="00D41B87">
        <w:rPr>
          <w:color w:val="0000FF"/>
          <w:sz w:val="26"/>
          <w:szCs w:val="26"/>
        </w:rPr>
        <w:t xml:space="preserve"> функций выделения</w:t>
      </w:r>
      <w:r w:rsidRPr="00D41B87">
        <w:rPr>
          <w:sz w:val="26"/>
          <w:szCs w:val="26"/>
        </w:rPr>
        <w:t xml:space="preserve"> </w:t>
      </w:r>
      <w:r w:rsidRPr="00D41B87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C67E2C" w:rsidRPr="00D41B87" w:rsidRDefault="00C67E2C" w:rsidP="00C67E2C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D41B87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D41B87">
        <w:rPr>
          <w:rFonts w:eastAsia="Arial CYR"/>
          <w:sz w:val="26"/>
          <w:szCs w:val="26"/>
        </w:rPr>
        <w:t>и</w:t>
      </w:r>
      <w:r w:rsidRPr="00D41B87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C67E2C" w:rsidRPr="00D41B87" w:rsidRDefault="00C67E2C" w:rsidP="00C67E2C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D41B87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D41B87">
        <w:rPr>
          <w:rFonts w:ascii="Times New Roman" w:eastAsia="Arial CYR" w:hAnsi="Times New Roman" w:cs="Times New Roman"/>
          <w:sz w:val="26"/>
          <w:szCs w:val="26"/>
        </w:rPr>
        <w:t>е</w:t>
      </w:r>
      <w:r w:rsidRPr="00D41B87">
        <w:rPr>
          <w:rFonts w:ascii="Times New Roman" w:eastAsia="Arial CYR" w:hAnsi="Times New Roman" w:cs="Times New Roman"/>
          <w:sz w:val="26"/>
          <w:szCs w:val="26"/>
        </w:rPr>
        <w:t>лия</w:t>
      </w:r>
    </w:p>
    <w:p w:rsidR="00396644" w:rsidRPr="00D41B87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D41B87">
        <w:rPr>
          <w:b/>
          <w:sz w:val="26"/>
          <w:szCs w:val="26"/>
        </w:rPr>
        <w:t>Гарантии качества</w:t>
      </w:r>
      <w:r w:rsidRPr="00D41B87">
        <w:rPr>
          <w:b/>
          <w:sz w:val="26"/>
          <w:szCs w:val="26"/>
        </w:rPr>
        <w:t>: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D41B87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D41B87">
        <w:rPr>
          <w:sz w:val="26"/>
          <w:szCs w:val="26"/>
        </w:rPr>
        <w:t xml:space="preserve"> На товаре не должно быть механических повреждений.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D41B87">
        <w:rPr>
          <w:sz w:val="26"/>
          <w:szCs w:val="26"/>
        </w:rPr>
        <w:t>е</w:t>
      </w:r>
      <w:r w:rsidRPr="00D41B87">
        <w:rPr>
          <w:sz w:val="26"/>
          <w:szCs w:val="26"/>
        </w:rPr>
        <w:t>бованиям технического задания.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 xml:space="preserve">Срок осуществления замены товара не должен превышать </w:t>
      </w:r>
      <w:r w:rsidRPr="00D41B87">
        <w:rPr>
          <w:color w:val="0000FF"/>
          <w:sz w:val="26"/>
          <w:szCs w:val="26"/>
        </w:rPr>
        <w:t>10</w:t>
      </w:r>
      <w:r w:rsidRPr="00D41B87">
        <w:rPr>
          <w:sz w:val="26"/>
          <w:szCs w:val="26"/>
        </w:rPr>
        <w:t xml:space="preserve"> рабочих дней со дня обращения Получателя (Зака</w:t>
      </w:r>
      <w:r w:rsidRPr="00D41B87">
        <w:rPr>
          <w:sz w:val="26"/>
          <w:szCs w:val="26"/>
        </w:rPr>
        <w:t>з</w:t>
      </w:r>
      <w:r w:rsidRPr="00D41B87">
        <w:rPr>
          <w:sz w:val="26"/>
          <w:szCs w:val="26"/>
        </w:rPr>
        <w:t>чика).</w:t>
      </w:r>
    </w:p>
    <w:p w:rsidR="00C67E2C" w:rsidRPr="00D41B87" w:rsidRDefault="00C67E2C" w:rsidP="00C67E2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D41B87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</w:t>
      </w:r>
      <w:r w:rsidRPr="00D41B87">
        <w:rPr>
          <w:sz w:val="26"/>
          <w:szCs w:val="26"/>
        </w:rPr>
        <w:t>у</w:t>
      </w:r>
      <w:r w:rsidRPr="00D41B87">
        <w:rPr>
          <w:sz w:val="26"/>
          <w:szCs w:val="26"/>
        </w:rPr>
        <w:t>чение данного товара поставщиком.</w:t>
      </w:r>
    </w:p>
    <w:p w:rsidR="00C67E2C" w:rsidRPr="00D41B87" w:rsidRDefault="00C67E2C" w:rsidP="00C67E2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D41B87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Pr="00D41B87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67E2C" w:rsidRDefault="00C67E2C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396644" w:rsidRDefault="00396644" w:rsidP="000B2C02">
      <w:pPr>
        <w:suppressAutoHyphens/>
        <w:spacing w:line="240" w:lineRule="auto"/>
        <w:jc w:val="both"/>
        <w:rPr>
          <w:b/>
          <w:sz w:val="26"/>
          <w:szCs w:val="26"/>
        </w:rPr>
      </w:pPr>
    </w:p>
    <w:sectPr w:rsidR="00396644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538F7"/>
    <w:rsid w:val="000A28C6"/>
    <w:rsid w:val="000B2C02"/>
    <w:rsid w:val="000C2D1A"/>
    <w:rsid w:val="00217F63"/>
    <w:rsid w:val="00266A65"/>
    <w:rsid w:val="002758FF"/>
    <w:rsid w:val="002A06ED"/>
    <w:rsid w:val="00313F5B"/>
    <w:rsid w:val="00396644"/>
    <w:rsid w:val="003C7179"/>
    <w:rsid w:val="00415B40"/>
    <w:rsid w:val="0043551A"/>
    <w:rsid w:val="004429AE"/>
    <w:rsid w:val="00510445"/>
    <w:rsid w:val="0052620A"/>
    <w:rsid w:val="0053013F"/>
    <w:rsid w:val="0054668D"/>
    <w:rsid w:val="005F5C40"/>
    <w:rsid w:val="00653B26"/>
    <w:rsid w:val="00695AF5"/>
    <w:rsid w:val="0072443B"/>
    <w:rsid w:val="0077704D"/>
    <w:rsid w:val="0083548A"/>
    <w:rsid w:val="00880C8E"/>
    <w:rsid w:val="00991821"/>
    <w:rsid w:val="009A7776"/>
    <w:rsid w:val="009B76ED"/>
    <w:rsid w:val="009C52B7"/>
    <w:rsid w:val="009D194D"/>
    <w:rsid w:val="009E49A6"/>
    <w:rsid w:val="00A35DE6"/>
    <w:rsid w:val="00A753B7"/>
    <w:rsid w:val="00AB3CC5"/>
    <w:rsid w:val="00AD6ACA"/>
    <w:rsid w:val="00AE10B0"/>
    <w:rsid w:val="00B6596C"/>
    <w:rsid w:val="00BF3459"/>
    <w:rsid w:val="00C30C2A"/>
    <w:rsid w:val="00C67E2C"/>
    <w:rsid w:val="00C7219A"/>
    <w:rsid w:val="00CB53CF"/>
    <w:rsid w:val="00CC3976"/>
    <w:rsid w:val="00CE2D45"/>
    <w:rsid w:val="00CF3115"/>
    <w:rsid w:val="00D41B87"/>
    <w:rsid w:val="00D46361"/>
    <w:rsid w:val="00D90EE4"/>
    <w:rsid w:val="00DB3543"/>
    <w:rsid w:val="00E769DF"/>
    <w:rsid w:val="00F05498"/>
    <w:rsid w:val="00F404DB"/>
    <w:rsid w:val="00F67233"/>
    <w:rsid w:val="00F80E3D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65</cp:revision>
  <dcterms:created xsi:type="dcterms:W3CDTF">2021-06-23T08:40:00Z</dcterms:created>
  <dcterms:modified xsi:type="dcterms:W3CDTF">2021-11-23T12:58:00Z</dcterms:modified>
</cp:coreProperties>
</file>