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BD" w:rsidRPr="00437D06" w:rsidRDefault="00F359BD" w:rsidP="00F359BD">
      <w:pPr>
        <w:pStyle w:val="ConsNormal0"/>
        <w:widowControl/>
        <w:tabs>
          <w:tab w:val="left" w:pos="567"/>
        </w:tabs>
        <w:ind w:right="-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D06">
        <w:rPr>
          <w:rFonts w:ascii="Times New Roman" w:hAnsi="Times New Roman" w:cs="Times New Roman"/>
          <w:b/>
          <w:bCs/>
          <w:sz w:val="26"/>
          <w:szCs w:val="26"/>
        </w:rPr>
        <w:t>Техническое задание для проведения электронного аукциона</w:t>
      </w:r>
    </w:p>
    <w:p w:rsidR="006C551A" w:rsidRDefault="00F359BD" w:rsidP="006C55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D06">
        <w:rPr>
          <w:rFonts w:ascii="Times New Roman" w:hAnsi="Times New Roman" w:cs="Times New Roman"/>
          <w:b/>
          <w:bCs/>
          <w:sz w:val="26"/>
          <w:szCs w:val="26"/>
        </w:rPr>
        <w:t xml:space="preserve">на выполнение работ по изготовлению </w:t>
      </w:r>
      <w:r w:rsidR="009747E2">
        <w:rPr>
          <w:rFonts w:ascii="Times New Roman" w:hAnsi="Times New Roman" w:cs="Times New Roman"/>
          <w:b/>
          <w:bCs/>
          <w:sz w:val="26"/>
          <w:szCs w:val="26"/>
        </w:rPr>
        <w:t>протезов нижних конечностей</w:t>
      </w:r>
    </w:p>
    <w:tbl>
      <w:tblPr>
        <w:tblW w:w="10632" w:type="dxa"/>
        <w:tblInd w:w="108" w:type="dxa"/>
        <w:tblLayout w:type="fixed"/>
        <w:tblLook w:val="0000"/>
      </w:tblPr>
      <w:tblGrid>
        <w:gridCol w:w="426"/>
        <w:gridCol w:w="1701"/>
        <w:gridCol w:w="4819"/>
        <w:gridCol w:w="992"/>
        <w:gridCol w:w="1276"/>
        <w:gridCol w:w="1418"/>
      </w:tblGrid>
      <w:tr w:rsidR="00966490" w:rsidRPr="004E04F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right="-16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right="-16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объекта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right="-167" w:firstLine="567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Описание объекта закупки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47" w:right="-167" w:firstLine="567"/>
              <w:jc w:val="center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Объем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акупки</w:t>
            </w:r>
            <w:r w:rsidR="008A6C2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(шт.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D" w:rsidRDefault="00F359BD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Цена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за единицу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D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Общая стоимость</w:t>
            </w:r>
          </w:p>
          <w:p w:rsidR="00F359BD" w:rsidRPr="004E04FC" w:rsidRDefault="00F359BD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(руб.)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голени модульный, в том числе при недоразвитии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голени  модульный без полимерного чехла. Формообразующая часть косметической оболочки модульная мягкая полиуретановая. Косметическое покрытие облицовки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. Приёмная гильза индивидуальная, по мерке или слепку с культи инвалида.  Материал  индивидуальной постоянной гильзы: кожа или литьевой слоистый пластик на основе полиамидных или акриловых смол. Допускается применение вкладной гильзы из вспененных материалов или кожи или без неё. Крепление протеза вакуумное с  герметизирующим коленным бандажом или с использованием гильзы (манжета с шинами) на бедро и кожаных полуфабрикатов. Регулировочно-соединительные  устройства и стопа соответствуют весу застрахованному лицу. </w:t>
            </w:r>
            <w:proofErr w:type="gramStart"/>
            <w:r w:rsidRPr="008A6C27">
              <w:rPr>
                <w:rFonts w:ascii="Times New Roman" w:hAnsi="Times New Roman" w:cs="Times New Roman"/>
                <w:color w:val="000000"/>
              </w:rPr>
              <w:t>Стопа шарнирная или без шарнирная, предназначена для пациентов, имеющих одностороннюю или двухстороннюю ампутацию голени на любом уровне.</w:t>
            </w:r>
            <w:proofErr w:type="gramEnd"/>
            <w:r w:rsidRPr="008A6C27">
              <w:rPr>
                <w:rFonts w:ascii="Times New Roman" w:hAnsi="Times New Roman" w:cs="Times New Roman"/>
                <w:color w:val="000000"/>
              </w:rPr>
              <w:t xml:space="preserve"> Стопа с голеностопным шарниром, подвижным в сагиттальной плоскости, со сменным пяточным амортизатором. Или стопа с голеностопным шарниром, подвижным в сагиттальной плоскости, с двухступенчатой регулируемой пациентом высотой каблука. Протез используется для первичного протезирования как лечебно-тренировочный  и для пациентов любого уровня активности.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8A6C27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125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8A6C27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> 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133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100,00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голени модульный, в том числе при недоразвитии (низкого уровня активности)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голени модульный без полимерного чехла. Формообразующая часть косметической облицовки  листовой поролон или без оболочки. Косметическое покрытие облицовки 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без чулок. Приемная гильза   индивидуальная по слепку с культи инвалида.  Материал индивидуальной постоянной гильзы: кожа или литьевой слоистый пластик на основе полиамидных или акриловых смол. Допускается применение вкладной гильзы из вспененных материалов или кожи или без нее. Крепление протеза  с использованием гильзы (манжеты с шинами)  бедра и кожаных полуфабрикатов. </w:t>
            </w:r>
            <w:r w:rsidRPr="008A6C27">
              <w:rPr>
                <w:rFonts w:ascii="Times New Roman" w:hAnsi="Times New Roman" w:cs="Times New Roman"/>
                <w:color w:val="000000"/>
              </w:rPr>
              <w:lastRenderedPageBreak/>
              <w:t>Регулировочно-соединительные устройства  соответствуют весу застрахованного лица. Стопа  с повышенной упругостью носочной части.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9D2FF6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63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9D2FF6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63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966,67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голени модульный, в том числе при недоразвитии (среднего уровня активности)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голени модульный без полимерного чехла. Формообразующая часть косметической облицовки  модульная мягкая полиуретановая. Косметическое покрытие облицовки 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>. Приемная гильза индивидуальная по слепку с культи инвалида. Материал индивидуальной гильзы: литьевой слоистый пластик на основе полиамидных или акриловых смол. Допускается применение вкладной гильзы из вспененных материалов или без нее. Крепление протеза с использованием кожаных полуфабрикатов или за счет формы приемной гильзы. Регулировочно-соединительные устройства соответствуют весу застрахованному лицу. Стопа подвижная во всех вертикальных плоскостях со средней степенью энергосбережения для пациентов среднего уровня активности. Протез может использоваться для первичного протезирования как лечебно-тренировочный.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9D2FF6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104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9D2FF6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104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966,67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голени модульный, в том числе при недоразвитии (высокого уровня активности)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голени модульный с полимерным чехлом с высоким уровнем стабилизации. Формообразующая часть косметической оболочки  модульная мягкая полиуретановая. Косметическое покрытие облицовки 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>, допускается защитное пленочное покрытие. Приемная гильза индивидуальная по слепку с культи (с надетым полимерным чехлом) инвалида. Допускается одна пробная гильза из листового термопласта. Материал постоянной гильзы литьевой слоистый пластик на основе акриловых смол. Крепление протеза с использованием замка для полимерных чехлов или вакуумное с использованием герметизирующего коленного бандажа.  Регулировочно-соединительные устройства соответствуют весу застрахованного лица. Стопа с высокой степенью энергосбережения с повышенной упругостью носочной части для пациентов высокого уровня активности.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174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874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666,65</w:t>
            </w:r>
          </w:p>
        </w:tc>
      </w:tr>
      <w:tr w:rsidR="008A6C27" w:rsidRPr="003E555C" w:rsidTr="00C13E8E">
        <w:trPr>
          <w:trHeight w:val="2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голени для купания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голени для купания  модульный, без полимерного чехла. Без косметической оболочки. Приёмная гильза индивидуальная, по  слепку с культи инвалида из слоистого пластика на основе акриловых смол. Допускается применение вкладной гильзы из вспененных материалов  или без неё. Крепление герметизирующим коленным бандажом. Регулировочно-соединительное  устройство на нагрузку  до 100 кг. Стопа с протектором, снижающим эффект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подскальзывания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 при контакте с мокрой поверхностью водостойкая.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109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219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866,66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бедра модульный, в том числе при врожденном недоразвитии (высокого уровня активности)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бедра модульный с полимерным чехлом. Формообразующая часть косметической оболочки модульная мягкая полиуретановая. Косметическое покрытие облицовки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>, допускается покрытие защитное пленочное. Приемная гильза индивидуальная по слепку с культи застрахованного лица или с надетым на культю полимерным чехлом. Допускается примерочная гильза из листового термопластичного пластика. Материал индивидуальной постоянной гильзы слоистый пластик на основе  акриловых смол. Регулировочно-соединительные устройства соответствуют весу застрахованного лица. Крепление протеза с использованием замка для полимерных чехлов или вакуумное. Коленный шарнир полицентрический с «геометрическим замком» с независимым гидравлическим или пневматическим регулированием фаз сгибания-разгибания, с замком, отключающимся при переходе на передний отде</w:t>
            </w:r>
            <w:r>
              <w:rPr>
                <w:rFonts w:ascii="Times New Roman" w:hAnsi="Times New Roman" w:cs="Times New Roman"/>
                <w:color w:val="000000"/>
              </w:rPr>
              <w:t>л стопы, с упругим подгибанием.</w:t>
            </w:r>
            <w:r w:rsidR="006C4DE0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8A6C27">
              <w:rPr>
                <w:rFonts w:ascii="Times New Roman" w:hAnsi="Times New Roman" w:cs="Times New Roman"/>
                <w:color w:val="000000"/>
              </w:rPr>
              <w:t>Стопа с высокой степенью энергосбережения, предназначенная для пациентов высокого уровня активности. Применяется поворотное устройство.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439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016,67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439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016,67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бедра модульный, в том числе при врожденном недоразвитии (среднего уровня активности)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бедра модульный без полимерного чехла. Формообразующая часть косметической оболочки модульная мягкая полиуретановая. Косметическое покрытие облицовки чулки ортопедические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перлоновые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силоновые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 xml:space="preserve">, допускается покрытие защитное пленочное. Приемная гильза унифицированная (без пробных гильз) по мерке с культи инвалида или индивидуальная (одна примерочная гильза). Материал унифицированной постоянной гильзы: кожа, слоистый пластик на основе полиамидных или акриловых смол. Материал индивидуальной постоянной гильзы: литьевой </w:t>
            </w:r>
            <w:r w:rsidRPr="008A6C27">
              <w:rPr>
                <w:rFonts w:ascii="Times New Roman" w:hAnsi="Times New Roman" w:cs="Times New Roman"/>
                <w:color w:val="000000"/>
              </w:rPr>
              <w:lastRenderedPageBreak/>
              <w:t>слоистый пластик на основе акриловых смол, примерочной - листовой термопластичный пластик. Крепление протеза поясное из кожаных полуфабрикатов, или с использованием бандажа, или вакуумное. Регулировочно-соединительные устройства соответствуют весу застрахованного лица. Стопа подвижная во всех вертикальных плоскостях со средней степенью энергосбережения для пациентов среднего уровня активности. Коленный шарнир полицентрический с «геометрическим замком» с независимым механическим  регулированием фаз сгибания-разгибания, или пневматический; или коленный шарнир одноосный с механизмом торможения под нагрузкой. Допускается коленный шарнир с ручным замком. Применяется поворотное устройство. Протез используется для первичного протезирования как лечебно-тренировочный.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170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340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000,00</w:t>
            </w:r>
          </w:p>
        </w:tc>
      </w:tr>
      <w:tr w:rsidR="008A6C27" w:rsidRPr="003E555C" w:rsidTr="008A6C27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widowControl w:val="0"/>
              <w:suppressAutoHyphens/>
              <w:autoSpaceDE w:val="0"/>
              <w:snapToGrid w:val="0"/>
              <w:ind w:left="-116" w:right="-167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8A6C27"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C27">
              <w:rPr>
                <w:rFonts w:ascii="Times New Roman" w:hAnsi="Times New Roman" w:cs="Times New Roman"/>
                <w:bCs/>
                <w:color w:val="000000"/>
              </w:rPr>
              <w:t>Протез стопы</w:t>
            </w:r>
          </w:p>
          <w:p w:rsidR="008A6C27" w:rsidRPr="008A6C27" w:rsidRDefault="008A6C27" w:rsidP="00E80418">
            <w:pPr>
              <w:keepNext/>
              <w:keepLines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C27" w:rsidRPr="008A6C27" w:rsidRDefault="008A6C27" w:rsidP="00E804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A6C27">
              <w:rPr>
                <w:rFonts w:ascii="Times New Roman" w:hAnsi="Times New Roman" w:cs="Times New Roman"/>
                <w:color w:val="000000"/>
              </w:rPr>
              <w:t xml:space="preserve">Протез стопы немодульный без полимерного чехла; без косметической облицовки, приемная гильза индивидуальная (по слепку с культи инвалида) без пробных гильз; приемная гильза   из кожи или слоистого пластика на основе акриловых смол; без вкладной гильзы, крепление с использованием кожаных полуфабрикатов (без шин) на нагрузку до 100 кг; вкладыш для протезов при ампутации по </w:t>
            </w:r>
            <w:proofErr w:type="spellStart"/>
            <w:r w:rsidRPr="008A6C27">
              <w:rPr>
                <w:rFonts w:ascii="Times New Roman" w:hAnsi="Times New Roman" w:cs="Times New Roman"/>
                <w:color w:val="000000"/>
              </w:rPr>
              <w:t>Шопару</w:t>
            </w:r>
            <w:proofErr w:type="spellEnd"/>
            <w:r w:rsidRPr="008A6C2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8A6C27" w:rsidRDefault="008A6C27" w:rsidP="00E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29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29</w:t>
            </w:r>
            <w:r w:rsidR="00C13E8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933,33</w:t>
            </w:r>
          </w:p>
        </w:tc>
      </w:tr>
      <w:tr w:rsidR="008A6C27" w:rsidRPr="004E04FC" w:rsidTr="00C13E8E">
        <w:trPr>
          <w:trHeight w:val="350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4047EA" w:rsidRDefault="008A6C27" w:rsidP="00C13E8E">
            <w:pPr>
              <w:keepNext/>
              <w:keepLines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keepNext/>
              <w:keepLines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13E8E" w:rsidP="008D2718">
            <w:pPr>
              <w:keepNext/>
              <w:keepLines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27" w:rsidRPr="003E555C" w:rsidRDefault="00C47A61" w:rsidP="008D2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13E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205</w:t>
            </w:r>
            <w:r w:rsidR="00C13E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516,65</w:t>
            </w:r>
          </w:p>
        </w:tc>
      </w:tr>
    </w:tbl>
    <w:p w:rsidR="00C13E8E" w:rsidRDefault="00C13E8E" w:rsidP="00C3215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108" w:rsidRPr="00523363" w:rsidRDefault="005D7CA7" w:rsidP="00C3215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36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52336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A28CE">
        <w:rPr>
          <w:rFonts w:ascii="Times New Roman" w:hAnsi="Times New Roman" w:cs="Times New Roman"/>
          <w:sz w:val="24"/>
          <w:szCs w:val="24"/>
        </w:rPr>
        <w:t>3 205 516</w:t>
      </w:r>
      <w:r w:rsidRPr="00523363">
        <w:rPr>
          <w:rFonts w:ascii="Times New Roman" w:hAnsi="Times New Roman" w:cs="Times New Roman"/>
          <w:sz w:val="24"/>
          <w:szCs w:val="24"/>
        </w:rPr>
        <w:t xml:space="preserve">  (</w:t>
      </w:r>
      <w:r w:rsidR="006A28CE">
        <w:rPr>
          <w:rFonts w:ascii="Times New Roman" w:hAnsi="Times New Roman" w:cs="Times New Roman"/>
          <w:sz w:val="24"/>
          <w:szCs w:val="24"/>
        </w:rPr>
        <w:t>Три</w:t>
      </w:r>
      <w:r w:rsidR="001108BD" w:rsidRPr="00523363">
        <w:rPr>
          <w:rFonts w:ascii="Times New Roman" w:hAnsi="Times New Roman" w:cs="Times New Roman"/>
          <w:sz w:val="24"/>
          <w:szCs w:val="24"/>
        </w:rPr>
        <w:t xml:space="preserve"> </w:t>
      </w:r>
      <w:r w:rsidRPr="00523363">
        <w:rPr>
          <w:rFonts w:ascii="Times New Roman" w:hAnsi="Times New Roman" w:cs="Times New Roman"/>
          <w:sz w:val="24"/>
          <w:szCs w:val="24"/>
        </w:rPr>
        <w:t>миллион</w:t>
      </w:r>
      <w:r w:rsidR="006A28CE">
        <w:rPr>
          <w:rFonts w:ascii="Times New Roman" w:hAnsi="Times New Roman" w:cs="Times New Roman"/>
          <w:sz w:val="24"/>
          <w:szCs w:val="24"/>
        </w:rPr>
        <w:t>а</w:t>
      </w:r>
      <w:r w:rsidRPr="00523363">
        <w:rPr>
          <w:rFonts w:ascii="Times New Roman" w:hAnsi="Times New Roman" w:cs="Times New Roman"/>
          <w:sz w:val="24"/>
          <w:szCs w:val="24"/>
        </w:rPr>
        <w:t xml:space="preserve"> </w:t>
      </w:r>
      <w:r w:rsidR="006A28CE">
        <w:rPr>
          <w:rFonts w:ascii="Times New Roman" w:hAnsi="Times New Roman" w:cs="Times New Roman"/>
          <w:sz w:val="24"/>
          <w:szCs w:val="24"/>
        </w:rPr>
        <w:t>двести пять</w:t>
      </w:r>
      <w:proofErr w:type="gramEnd"/>
      <w:r w:rsidR="001108BD" w:rsidRPr="0052336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6A28CE">
        <w:rPr>
          <w:rFonts w:ascii="Times New Roman" w:hAnsi="Times New Roman" w:cs="Times New Roman"/>
          <w:sz w:val="24"/>
          <w:szCs w:val="24"/>
        </w:rPr>
        <w:t xml:space="preserve"> пятьсот шестнадцать</w:t>
      </w:r>
      <w:r w:rsidR="001108BD" w:rsidRPr="00523363">
        <w:rPr>
          <w:rFonts w:ascii="Times New Roman" w:hAnsi="Times New Roman" w:cs="Times New Roman"/>
          <w:sz w:val="24"/>
          <w:szCs w:val="24"/>
        </w:rPr>
        <w:t>) рублей</w:t>
      </w:r>
      <w:r w:rsidRPr="00523363">
        <w:rPr>
          <w:rFonts w:ascii="Times New Roman" w:hAnsi="Times New Roman" w:cs="Times New Roman"/>
          <w:sz w:val="24"/>
          <w:szCs w:val="24"/>
        </w:rPr>
        <w:t xml:space="preserve"> </w:t>
      </w:r>
      <w:r w:rsidR="006A28CE">
        <w:rPr>
          <w:rFonts w:ascii="Times New Roman" w:hAnsi="Times New Roman" w:cs="Times New Roman"/>
          <w:sz w:val="24"/>
          <w:szCs w:val="24"/>
        </w:rPr>
        <w:t>65</w:t>
      </w:r>
      <w:r w:rsidRPr="00523363">
        <w:rPr>
          <w:rFonts w:ascii="Times New Roman" w:hAnsi="Times New Roman" w:cs="Times New Roman"/>
          <w:sz w:val="24"/>
          <w:szCs w:val="24"/>
        </w:rPr>
        <w:t xml:space="preserve"> копе</w:t>
      </w:r>
      <w:r w:rsidR="001108BD" w:rsidRPr="00523363">
        <w:rPr>
          <w:rFonts w:ascii="Times New Roman" w:hAnsi="Times New Roman" w:cs="Times New Roman"/>
          <w:sz w:val="24"/>
          <w:szCs w:val="24"/>
        </w:rPr>
        <w:t>ек</w:t>
      </w:r>
      <w:r w:rsidRPr="00523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108" w:rsidRPr="00523363" w:rsidRDefault="005D7CA7" w:rsidP="00C3215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63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523363">
        <w:rPr>
          <w:rFonts w:ascii="Times New Roman" w:hAnsi="Times New Roman" w:cs="Times New Roman"/>
          <w:sz w:val="24"/>
          <w:szCs w:val="24"/>
        </w:rPr>
        <w:t xml:space="preserve"> по месту изготовления Изделий.</w:t>
      </w:r>
    </w:p>
    <w:p w:rsidR="00535108" w:rsidRPr="00523363" w:rsidRDefault="005D7CA7" w:rsidP="00C32152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63">
        <w:rPr>
          <w:rFonts w:ascii="Times New Roman" w:hAnsi="Times New Roman" w:cs="Times New Roman"/>
          <w:sz w:val="24"/>
          <w:szCs w:val="24"/>
        </w:rPr>
        <w:t>Снятие мерок, примерки и получения Изделий по месту жительства Получателя либо по месту изготовления Изделий.</w:t>
      </w:r>
    </w:p>
    <w:p w:rsidR="00535108" w:rsidRPr="00523363" w:rsidRDefault="005D7CA7" w:rsidP="00AA21C8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63">
        <w:rPr>
          <w:rFonts w:ascii="Times New Roman" w:hAnsi="Times New Roman" w:cs="Times New Roman"/>
          <w:b/>
          <w:sz w:val="24"/>
          <w:szCs w:val="24"/>
        </w:rPr>
        <w:t>Срок выполнения работ (срок изготовления):</w:t>
      </w:r>
      <w:r w:rsidRPr="00523363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момента получения Подрядчиком Направления.</w:t>
      </w:r>
    </w:p>
    <w:p w:rsidR="00535108" w:rsidRDefault="005D7CA7" w:rsidP="00AA21C8">
      <w:pPr>
        <w:pStyle w:val="ConsNormal0"/>
        <w:widowControl/>
        <w:tabs>
          <w:tab w:val="left" w:pos="809"/>
          <w:tab w:val="left" w:pos="1418"/>
          <w:tab w:val="left" w:pos="10065"/>
          <w:tab w:val="left" w:pos="10348"/>
          <w:tab w:val="left" w:pos="10490"/>
        </w:tabs>
        <w:spacing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b/>
          <w:sz w:val="24"/>
          <w:szCs w:val="24"/>
        </w:rPr>
        <w:t xml:space="preserve">Период выполнения работ: </w:t>
      </w:r>
      <w:r w:rsidRPr="00237CCF">
        <w:rPr>
          <w:rFonts w:ascii="Times New Roman" w:hAnsi="Times New Roman" w:cs="Times New Roman"/>
          <w:sz w:val="24"/>
          <w:szCs w:val="24"/>
        </w:rPr>
        <w:t>с момента заключения контракта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B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108B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 декабря 202</w:t>
      </w:r>
      <w:r w:rsidR="001108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2152" w:rsidRDefault="00C32152" w:rsidP="00C32152">
      <w:pPr>
        <w:keepNext/>
        <w:keepLines/>
        <w:tabs>
          <w:tab w:val="left" w:pos="4995"/>
        </w:tabs>
        <w:snapToGrid w:val="0"/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152">
        <w:rPr>
          <w:rFonts w:ascii="Times New Roman" w:hAnsi="Times New Roman" w:cs="Times New Roman"/>
          <w:b/>
          <w:sz w:val="24"/>
          <w:szCs w:val="24"/>
        </w:rPr>
        <w:t>Требования к упаковке, поставке товаров (продукции):</w:t>
      </w:r>
      <w:r w:rsidRPr="00C32152">
        <w:rPr>
          <w:rFonts w:ascii="Times New Roman" w:hAnsi="Times New Roman" w:cs="Times New Roman"/>
          <w:sz w:val="24"/>
          <w:szCs w:val="24"/>
        </w:rPr>
        <w:t xml:space="preserve"> Протезы должны соответствовать требованиям Государственного стандарта Российской Федерации  ГОСТ </w:t>
      </w:r>
      <w:proofErr w:type="gramStart"/>
      <w:r w:rsidRPr="00C321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2152">
        <w:rPr>
          <w:rFonts w:ascii="Times New Roman" w:hAnsi="Times New Roman" w:cs="Times New Roman"/>
          <w:sz w:val="24"/>
          <w:szCs w:val="24"/>
        </w:rPr>
        <w:t xml:space="preserve"> ИСО 22523-2007 «Протезы конечностей и </w:t>
      </w:r>
      <w:proofErr w:type="spellStart"/>
      <w:r w:rsidRPr="00C32152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C32152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испытаний», ГОСТ </w:t>
      </w:r>
      <w:proofErr w:type="gramStart"/>
      <w:r w:rsidRPr="00C321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2152">
        <w:rPr>
          <w:rFonts w:ascii="Times New Roman" w:hAnsi="Times New Roman" w:cs="Times New Roman"/>
          <w:sz w:val="24"/>
          <w:szCs w:val="24"/>
        </w:rPr>
        <w:t xml:space="preserve"> 53869-2021 «Протезы нижних конечностей. Технические требования</w:t>
      </w:r>
      <w:r w:rsidR="00E42B71">
        <w:rPr>
          <w:rFonts w:ascii="Times New Roman" w:hAnsi="Times New Roman" w:cs="Times New Roman"/>
          <w:sz w:val="24"/>
          <w:szCs w:val="24"/>
        </w:rPr>
        <w:t xml:space="preserve">», ГОСТ </w:t>
      </w:r>
      <w:proofErr w:type="gramStart"/>
      <w:r w:rsidR="00E42B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42B71">
        <w:rPr>
          <w:rFonts w:ascii="Times New Roman" w:hAnsi="Times New Roman" w:cs="Times New Roman"/>
          <w:sz w:val="24"/>
          <w:szCs w:val="24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C32152" w:rsidRPr="00C32152" w:rsidRDefault="00C32152" w:rsidP="00C32152">
      <w:pPr>
        <w:keepNext/>
        <w:keepLines/>
        <w:tabs>
          <w:tab w:val="left" w:pos="4995"/>
        </w:tabs>
        <w:snapToGrid w:val="0"/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152">
        <w:rPr>
          <w:rFonts w:ascii="Times New Roman" w:hAnsi="Times New Roman" w:cs="Times New Roman"/>
          <w:b/>
          <w:sz w:val="24"/>
          <w:szCs w:val="24"/>
        </w:rPr>
        <w:t>Требования к упаковке, поставке товаров (Изделий):</w:t>
      </w:r>
      <w:r w:rsidRPr="00C32152">
        <w:rPr>
          <w:rFonts w:ascii="Times New Roman" w:hAnsi="Times New Roman" w:cs="Times New Roman"/>
          <w:sz w:val="24"/>
          <w:szCs w:val="24"/>
        </w:rPr>
        <w:t xml:space="preserve"> упаковка Изделий должна соответствовать действующим стандартам и обеспечивать сохранность изделия при транспортировке, отгрузке и хранении.</w:t>
      </w:r>
    </w:p>
    <w:p w:rsidR="00C32152" w:rsidRPr="00C32152" w:rsidRDefault="00C32152" w:rsidP="00C32152">
      <w:pPr>
        <w:keepNext/>
        <w:keepLines/>
        <w:tabs>
          <w:tab w:val="left" w:pos="4995"/>
        </w:tabs>
        <w:snapToGrid w:val="0"/>
        <w:spacing w:after="0" w:line="240" w:lineRule="auto"/>
        <w:ind w:right="-2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152">
        <w:rPr>
          <w:rFonts w:ascii="Times New Roman" w:hAnsi="Times New Roman" w:cs="Times New Roman"/>
          <w:b/>
          <w:sz w:val="24"/>
          <w:szCs w:val="24"/>
        </w:rPr>
        <w:t>Гарантийные обязательства:</w:t>
      </w:r>
      <w:r w:rsidRPr="00C32152">
        <w:rPr>
          <w:rFonts w:ascii="Times New Roman" w:hAnsi="Times New Roman" w:cs="Times New Roman"/>
          <w:sz w:val="24"/>
          <w:szCs w:val="24"/>
        </w:rPr>
        <w:t xml:space="preserve"> Гарантийный срок составляет 12 (двенадцать) месяцев со дня подписания Акта приема-передачи Изделия. </w:t>
      </w:r>
    </w:p>
    <w:p w:rsidR="001108BD" w:rsidRPr="00C32152" w:rsidRDefault="001108BD" w:rsidP="00C32152">
      <w:pPr>
        <w:pStyle w:val="ConsNormal0"/>
        <w:widowControl/>
        <w:tabs>
          <w:tab w:val="left" w:pos="809"/>
          <w:tab w:val="left" w:pos="1418"/>
          <w:tab w:val="left" w:pos="10065"/>
          <w:tab w:val="left" w:pos="10348"/>
          <w:tab w:val="left" w:pos="10490"/>
        </w:tabs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152" w:rsidRDefault="00C32152" w:rsidP="005D7CA7">
      <w:pPr>
        <w:widowControl w:val="0"/>
        <w:tabs>
          <w:tab w:val="left" w:pos="0"/>
          <w:tab w:val="left" w:pos="1418"/>
        </w:tabs>
        <w:ind w:right="284"/>
        <w:jc w:val="both"/>
        <w:rPr>
          <w:color w:val="000000"/>
          <w:sz w:val="24"/>
          <w:szCs w:val="24"/>
        </w:rPr>
      </w:pPr>
    </w:p>
    <w:sectPr w:rsidR="00C32152" w:rsidSect="00F35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84"/>
    <w:rsid w:val="001108BD"/>
    <w:rsid w:val="002D7F7E"/>
    <w:rsid w:val="003A73A9"/>
    <w:rsid w:val="003E555C"/>
    <w:rsid w:val="004047EA"/>
    <w:rsid w:val="00457F84"/>
    <w:rsid w:val="00523363"/>
    <w:rsid w:val="00535108"/>
    <w:rsid w:val="0059282B"/>
    <w:rsid w:val="005D7CA7"/>
    <w:rsid w:val="006A28CE"/>
    <w:rsid w:val="006C4DE0"/>
    <w:rsid w:val="006C551A"/>
    <w:rsid w:val="006F3E68"/>
    <w:rsid w:val="008A6C27"/>
    <w:rsid w:val="00966490"/>
    <w:rsid w:val="009747E2"/>
    <w:rsid w:val="009D2FF6"/>
    <w:rsid w:val="009E1A35"/>
    <w:rsid w:val="00AA21C8"/>
    <w:rsid w:val="00C13E8E"/>
    <w:rsid w:val="00C32152"/>
    <w:rsid w:val="00C47A61"/>
    <w:rsid w:val="00E42B71"/>
    <w:rsid w:val="00F359BD"/>
    <w:rsid w:val="00F9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F359BD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qFormat/>
    <w:rsid w:val="00F359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5D7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D7C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6">
    <w:name w:val="Основной текст с отступом 36"/>
    <w:basedOn w:val="a"/>
    <w:rsid w:val="006C551A"/>
    <w:pPr>
      <w:widowControl w:val="0"/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F359BD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qFormat/>
    <w:rsid w:val="00F359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5D7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D7C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6">
    <w:name w:val="Основной текст с отступом 36"/>
    <w:basedOn w:val="a"/>
    <w:rsid w:val="006C551A"/>
    <w:pPr>
      <w:widowControl w:val="0"/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Светлана Николаевна</dc:creator>
  <cp:lastModifiedBy>054MagnitskayaYUG</cp:lastModifiedBy>
  <cp:revision>10</cp:revision>
  <cp:lastPrinted>2023-11-24T09:11:00Z</cp:lastPrinted>
  <dcterms:created xsi:type="dcterms:W3CDTF">2023-11-09T09:10:00Z</dcterms:created>
  <dcterms:modified xsi:type="dcterms:W3CDTF">2023-11-24T09:59:00Z</dcterms:modified>
</cp:coreProperties>
</file>