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616779" w:rsidP="0083513B">
      <w:pPr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DA4205" w:rsidRPr="000B79E8" w:rsidRDefault="00F3167C" w:rsidP="0083513B">
      <w:pPr>
        <w:jc w:val="center"/>
        <w:rPr>
          <w:b/>
          <w:bCs/>
        </w:rPr>
      </w:pPr>
      <w:r w:rsidRPr="00F3167C">
        <w:rPr>
          <w:b/>
          <w:bCs/>
        </w:rPr>
        <w:t>Выполнение работ по изготовлению протезов верхних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247180" w:rsidRDefault="00D33645" w:rsidP="00D33645">
      <w:pPr>
        <w:pStyle w:val="a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3167C" w:rsidRPr="00D33645" w:rsidRDefault="00F3167C" w:rsidP="00D33645">
      <w:pPr>
        <w:pStyle w:val="aa"/>
        <w:jc w:val="both"/>
        <w:rPr>
          <w:sz w:val="24"/>
          <w:szCs w:val="24"/>
        </w:rPr>
      </w:pPr>
    </w:p>
    <w:p w:rsidR="00576A6A" w:rsidRPr="00576A6A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1071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605"/>
        <w:gridCol w:w="1559"/>
      </w:tblGrid>
      <w:tr w:rsidR="00C85704" w:rsidRPr="002E2419" w:rsidTr="003219A1">
        <w:tc>
          <w:tcPr>
            <w:tcW w:w="554" w:type="dxa"/>
            <w:vMerge w:val="restart"/>
            <w:shd w:val="clear" w:color="auto" w:fill="auto"/>
            <w:vAlign w:val="center"/>
          </w:tcPr>
          <w:p w:rsidR="00C85704" w:rsidRPr="0045370A" w:rsidRDefault="00C85704" w:rsidP="003219A1">
            <w:pPr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8605" w:type="dxa"/>
            <w:vMerge w:val="restart"/>
            <w:shd w:val="clear" w:color="auto" w:fill="auto"/>
            <w:vAlign w:val="center"/>
          </w:tcPr>
          <w:p w:rsidR="00C85704" w:rsidRPr="0045370A" w:rsidRDefault="00C85704" w:rsidP="003219A1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5704" w:rsidRPr="0045370A" w:rsidRDefault="00C85704" w:rsidP="003219A1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C85704" w:rsidRPr="002E2419" w:rsidTr="003219A1">
        <w:tc>
          <w:tcPr>
            <w:tcW w:w="554" w:type="dxa"/>
            <w:vMerge/>
            <w:shd w:val="clear" w:color="auto" w:fill="auto"/>
            <w:vAlign w:val="center"/>
          </w:tcPr>
          <w:p w:rsidR="00C85704" w:rsidRPr="0045370A" w:rsidRDefault="00C85704" w:rsidP="003219A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05" w:type="dxa"/>
            <w:vMerge/>
            <w:shd w:val="clear" w:color="auto" w:fill="auto"/>
            <w:vAlign w:val="center"/>
          </w:tcPr>
          <w:p w:rsidR="00C85704" w:rsidRPr="0045370A" w:rsidRDefault="00C85704" w:rsidP="003219A1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5704" w:rsidRPr="0045370A" w:rsidRDefault="00C85704" w:rsidP="003219A1">
            <w:pPr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C85704" w:rsidRPr="0045370A" w:rsidRDefault="00C85704" w:rsidP="003219A1">
            <w:pPr>
              <w:rPr>
                <w:rFonts w:eastAsia="Calibri"/>
                <w:b/>
                <w:sz w:val="20"/>
                <w:szCs w:val="20"/>
              </w:rPr>
            </w:pPr>
            <w:r w:rsidRPr="0045370A"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Протез кисти косметический изготавливается из приемной гильзы и кисти. Приемная гильза изготавливается индивидуально по слепку с культи Получателя. Кисть изготавливается из полихлорвинила или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>из силикона с нейлоновой армирующей сеткой (в зависимости от индивидуальных особенностей Получателя)</w:t>
            </w:r>
            <w:r w:rsidRPr="008C02C6">
              <w:rPr>
                <w:rFonts w:eastAsia="Calibri"/>
                <w:sz w:val="20"/>
                <w:szCs w:val="20"/>
              </w:rPr>
              <w:t xml:space="preserve">. Крепление протеза осуществляется застежкой, манжеткой, молнией, на шнуровке или контактной лентой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>(в зависимости от индивидуальных особенностей Получателя)</w:t>
            </w:r>
            <w:r w:rsidRPr="008C02C6">
              <w:rPr>
                <w:rFonts w:eastAsia="Calibri"/>
                <w:sz w:val="20"/>
                <w:szCs w:val="20"/>
              </w:rPr>
              <w:t>. Косметическая кисть по форме, цвету и структуре поверхности соответствует естественной кисти.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кисти косметический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Протез кисти косметический изготавливается из кисти и косметической оболочки. Кисть изготавливается по индивидуальному слепку с культи </w:t>
            </w:r>
            <w:r w:rsidR="00AA186C">
              <w:rPr>
                <w:rFonts w:eastAsia="Calibri"/>
                <w:sz w:val="20"/>
                <w:szCs w:val="20"/>
              </w:rPr>
              <w:t>Получателя</w:t>
            </w:r>
            <w:r w:rsidRPr="008C02C6">
              <w:rPr>
                <w:rFonts w:eastAsia="Calibri"/>
                <w:sz w:val="20"/>
                <w:szCs w:val="20"/>
              </w:rPr>
              <w:t xml:space="preserve">. Кисть и косметическая оболочка изготавливаются из силикона с применением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эластоксила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. </w:t>
            </w:r>
            <w:r w:rsidRPr="008C02C6">
              <w:rPr>
                <w:rFonts w:eastAsia="Calibri"/>
                <w:color w:val="000000"/>
                <w:sz w:val="20"/>
                <w:szCs w:val="20"/>
              </w:rPr>
              <w:t>Приемной гильзой является сама силиконовая кисть.</w:t>
            </w:r>
            <w:r w:rsidRPr="008C02C6">
              <w:rPr>
                <w:rFonts w:eastAsia="Calibri"/>
                <w:sz w:val="20"/>
                <w:szCs w:val="20"/>
              </w:rPr>
              <w:t xml:space="preserve"> Крепление изготавливается из пластмассы. Крепление протеза осуществляется встроенной «молнией»</w:t>
            </w:r>
            <w:r w:rsidRPr="008C02C6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8C02C6">
              <w:rPr>
                <w:rFonts w:eastAsia="Calibri"/>
                <w:sz w:val="20"/>
                <w:szCs w:val="20"/>
              </w:rPr>
              <w:t>Косметическая кисть по форме, цвету и структуре поверхности соответствует естественной кисти.</w:t>
            </w:r>
          </w:p>
          <w:p w:rsidR="00C85704" w:rsidRPr="008C02C6" w:rsidRDefault="00C85704" w:rsidP="003219A1">
            <w:pPr>
              <w:suppressAutoHyphens w:val="0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кисти косметический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  <w:lang w:eastAsia="en-US"/>
              </w:rPr>
              <w:t>Протез кисти рабочий изготавливается без модулей пальцев, пястей и кистей. П</w:t>
            </w:r>
            <w:r w:rsidRPr="008C02C6">
              <w:rPr>
                <w:rFonts w:eastAsia="Calibri"/>
                <w:bCs/>
                <w:sz w:val="20"/>
                <w:szCs w:val="20"/>
              </w:rPr>
              <w:t>риемная гильза должна быть изготовлена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C02C6">
              <w:rPr>
                <w:rFonts w:eastAsia="Calibri"/>
                <w:bCs/>
                <w:sz w:val="20"/>
                <w:szCs w:val="20"/>
              </w:rPr>
              <w:t xml:space="preserve">по слепку с культи инвалида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 xml:space="preserve">индивидуально, из литьевого слоистого пластика на основе связующих смол с манжеткой. Крепление осуществляется ремнем через плечо. Протез должен быть оснащен комплектом рабочих насадок и насадок для самообслуживания в различных комбинациях в зависимости от медицинских показаний и пожеланий инвалида. </w:t>
            </w:r>
            <w:r w:rsidRPr="008C02C6">
              <w:rPr>
                <w:rFonts w:eastAsia="Calibri"/>
                <w:sz w:val="20"/>
                <w:szCs w:val="20"/>
              </w:rPr>
              <w:t>Назначение – постоянное.</w:t>
            </w:r>
          </w:p>
          <w:p w:rsidR="00C85704" w:rsidRPr="008C02C6" w:rsidRDefault="00C85704" w:rsidP="003219A1">
            <w:pPr>
              <w:suppressAutoHyphens w:val="0"/>
              <w:jc w:val="both"/>
              <w:rPr>
                <w:rFonts w:eastAsia="Calibri"/>
                <w:sz w:val="20"/>
                <w:szCs w:val="20"/>
                <w:highlight w:val="yellow"/>
                <w:lang w:eastAsia="ru-RU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C02C6">
              <w:rPr>
                <w:rFonts w:eastAsia="Calibri"/>
                <w:color w:val="000000"/>
                <w:sz w:val="20"/>
                <w:szCs w:val="20"/>
              </w:rPr>
              <w:t>Протез кисти рабочий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45370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605" w:type="dxa"/>
            <w:shd w:val="clear" w:color="auto" w:fill="auto"/>
          </w:tcPr>
          <w:p w:rsidR="00C85704" w:rsidRPr="00CD4DAC" w:rsidRDefault="00C85704" w:rsidP="003219A1">
            <w:pPr>
              <w:keepNext/>
              <w:ind w:left="-57" w:right="-57"/>
              <w:jc w:val="both"/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 xml:space="preserve">Протез кисти активный (тяговый) изготавливается из двух частей: каркасные (активные) элементы и приемная гильза. Гильза изготавливается по индивидуальному слепку, количество приемных (пробных) гильз – две. Постоянная приемная гильза изготавливается путем блокировки из низкотемпературного пластика. Материал модуля кисти – полиамид. Материал наконечников пальцев – силикон. Приемная гильза имеет две шарнирно-соединительные части, одна из которых фиксируется на предплечье, вторая –  плотно облегает культю кисти. Функция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схвата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осуществляется за счет движений в лучезапястном суставе. Тяговые тросы зафиксированы на опорной части протеза и регулируются индивидуально, что позволяет осуществлять требуемые функциональные позиции и менять очередность движения пальцев. Протез позволяет выполнять приведение и отведение кисти. Протез имеет возможность фиксации </w:t>
            </w:r>
            <w:proofErr w:type="spellStart"/>
            <w:r w:rsidRPr="00CD4DAC">
              <w:rPr>
                <w:rFonts w:eastAsia="Calibri"/>
                <w:sz w:val="20"/>
                <w:szCs w:val="20"/>
              </w:rPr>
              <w:t>схвата</w:t>
            </w:r>
            <w:proofErr w:type="spellEnd"/>
            <w:r w:rsidRPr="00CD4DAC">
              <w:rPr>
                <w:rFonts w:eastAsia="Calibri"/>
                <w:sz w:val="20"/>
                <w:szCs w:val="20"/>
              </w:rPr>
              <w:t xml:space="preserve"> в закрытом состоянии. Назначение – постоянное.</w:t>
            </w:r>
          </w:p>
          <w:p w:rsidR="00C85704" w:rsidRPr="00CD4DAC" w:rsidRDefault="00C85704" w:rsidP="003219A1">
            <w:pPr>
              <w:keepNext/>
              <w:ind w:left="-57" w:right="-57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CD4DAC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CD4DAC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CD4DAC">
              <w:rPr>
                <w:rFonts w:eastAsia="Calibri"/>
                <w:sz w:val="20"/>
                <w:szCs w:val="20"/>
              </w:rPr>
              <w:t>Протез кисти активный (тяговый)</w:t>
            </w:r>
          </w:p>
          <w:p w:rsidR="00C85704" w:rsidRPr="00CD4DAC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  <w:p w:rsidR="00C85704" w:rsidRPr="00CD4DAC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Протез предплечья косметический изготавливается из приемной гильзы и косметической кисти. Гильза предплечья изготавливается индивидуально (по слепку с культи Получателя), материал гильзы слоистый пластик на основе полиамидных или акриловых смол (по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мед.показаниям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). Крепление протеза осуществляется кожаной гильзой плеча с локтевыми шинами (с замком или без него) или манжетой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 xml:space="preserve">(в зависимости от индивидуальных особенностей Получателя). </w:t>
            </w:r>
            <w:r w:rsidRPr="008C02C6">
              <w:rPr>
                <w:rFonts w:eastAsia="Calibri"/>
                <w:sz w:val="20"/>
                <w:szCs w:val="20"/>
              </w:rPr>
              <w:t xml:space="preserve">Кисть косметическая изготавливается из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>силикона с нейлоновой армирующей сеткой.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предплечья косметический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Протез предплечья рабочий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 xml:space="preserve">изготавливается без модулей пальцев, пястей и кистей. Гильза </w:t>
            </w:r>
            <w:proofErr w:type="spellStart"/>
            <w:r w:rsidRPr="008C02C6">
              <w:rPr>
                <w:rFonts w:eastAsia="Calibri"/>
                <w:sz w:val="20"/>
                <w:szCs w:val="20"/>
                <w:lang w:eastAsia="en-US"/>
              </w:rPr>
              <w:t>культеприемника</w:t>
            </w:r>
            <w:proofErr w:type="spellEnd"/>
            <w:r w:rsidRPr="008C02C6">
              <w:rPr>
                <w:rFonts w:eastAsia="Calibri"/>
                <w:sz w:val="20"/>
                <w:szCs w:val="20"/>
                <w:lang w:eastAsia="en-US"/>
              </w:rPr>
              <w:t xml:space="preserve"> изготавливается индивидуально (по слепку </w:t>
            </w:r>
            <w:r w:rsidRPr="008C02C6">
              <w:rPr>
                <w:rFonts w:eastAsia="Calibri"/>
                <w:sz w:val="20"/>
                <w:szCs w:val="20"/>
              </w:rPr>
              <w:t>с культи Получателя)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 xml:space="preserve"> из литьевого слоистого пластика на основе связующих смол с манжеткой. Крепление протеза осуществляется ремнем через плечо. Протез изготавливается с приемником для рабочих насадок, которые крепятся к протезу при помощи хвостовика, который вставляется в приемник. К протезу прилагается комплект рабочих насадок и насадок для самообслуживания в различных комбинациях в зависимости от медицинских показаний и пожеланий Получателя.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предплечья рабочий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5370A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keepNext/>
              <w:ind w:right="-57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 предплечья активный (тяговый)</w:t>
            </w:r>
            <w:r w:rsidRPr="008C02C6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изготавливается по индивидуальному  тех. процессу.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C02C6">
              <w:rPr>
                <w:rFonts w:eastAsia="Calibri"/>
                <w:color w:val="000000"/>
                <w:sz w:val="20"/>
                <w:szCs w:val="20"/>
                <w:lang w:eastAsia="ru-RU"/>
              </w:rPr>
              <w:t>Протез предплечья с тяговым управлением, гильза индивидуальная (по слепку с культи инвалида), материал гильзы: слоистый пластик на основе полиамидных или акриловых смол, крепление – петлей, кожаной манжеткой на плечо или кожаной гильзой с локтевыми шинами, кисть пластмассовая, косметическая оболочка на кисть.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предплечья активный (тяговый)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Pr="0045370A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Протез плеча косметический модульного типа изготавливается из приемной гильзы и модулей. Гильза плеча изготавливается по индивидуальному слепку с культи получателя, тип гильзы: индивидуальная одинарная или индивидуальная составная в зависимости от индивидуальных особенностей получателя. Материал гильзы: кожа или литьевой слоистый пластик на основе связующих смол или листовой термопласт (в зависимости от индивидуальных особенностей получателя). Пробная гильза одна или отсутствует. Узел «локоть-предплечье» с бесступенчатой фиксацией с пассивной ротацией плеча, предплечья. Функция ротации реализована в составе модуля кисти. Управление сохранившейся рукой. Косметическая облицовка мягкая полиуретановая. Косметическая оболочка отсутствует или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силоновая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 (по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мед.показаниям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). Тип вкладного элемента в приемной гильзе: отсутствует или чехол полимерный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гелевый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 (в зависимости от индивидуальных особенностей получателя). Кисть косметическая из поливинилхлорида или кисть косметическая силиконовая с нейлоновой армирующей сеткой (в зависимости от индивидуальных особенностей получателя). Крепление индивидуальное или подгоночное или быстросъемный замок для чехла полимерного (в зависимости от индивидуальных особенностей получателя).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плеча косметический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Протез плеча рабочий с сохранившейся рукой или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противоупором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 изготавливается из комплекта полуфабрикатов, приемной гильзы, комплекта рабочих насадок. Отсутствует управление, отсутствуют модули пальцев, пястей и кистей, кисть косметическая из ПВХ, локоть предплечье отсутствует, дополнительное РСУ отсутствует,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10мм, ротатор кистевой с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адаптором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 для присоединения кистей косметических, тяговых каркасных без ротации и рабочих насадок имеющих адаптер; комплект рабочих насадок, приспособления отсутствуют, оболочка косметическая отсутствует, гильза индивидуальная составная, гильза унифицированная, кожаная из литьевого слоистого пластика на основе связующих смол, комплект полуфабрикатов протеза рабочего плеча с регулируемой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тугоподвижностью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 шарнира плечевого, индивидуальное, подгоночное, специальное. 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lastRenderedPageBreak/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lastRenderedPageBreak/>
              <w:t>Протез плеча рабочий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85704" w:rsidRPr="002E2419" w:rsidTr="003219A1">
        <w:tc>
          <w:tcPr>
            <w:tcW w:w="554" w:type="dxa"/>
            <w:shd w:val="clear" w:color="auto" w:fill="auto"/>
          </w:tcPr>
          <w:p w:rsidR="00C85704" w:rsidRDefault="00C85704" w:rsidP="003219A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605" w:type="dxa"/>
            <w:shd w:val="clear" w:color="auto" w:fill="auto"/>
          </w:tcPr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 xml:space="preserve">Протез плеча изготавливается с тяговым управлением. Протез оснащается кистью с активным </w:t>
            </w:r>
            <w:proofErr w:type="spellStart"/>
            <w:r w:rsidRPr="008C02C6">
              <w:rPr>
                <w:rFonts w:eastAsia="Calibri"/>
                <w:sz w:val="20"/>
                <w:szCs w:val="20"/>
              </w:rPr>
              <w:t>схватом</w:t>
            </w:r>
            <w:proofErr w:type="spellEnd"/>
            <w:r w:rsidRPr="008C02C6">
              <w:rPr>
                <w:rFonts w:eastAsia="Calibri"/>
                <w:sz w:val="20"/>
                <w:szCs w:val="20"/>
              </w:rPr>
              <w:t xml:space="preserve"> и раскрытием, которая изготавливается из пластмассы и покрывается косметической оболочкой, а также узлом локоть-предплечье для активного сгибания и разгибания в локтевом суставе.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8C02C6">
              <w:rPr>
                <w:rFonts w:eastAsia="Calibri"/>
                <w:bCs/>
                <w:sz w:val="20"/>
                <w:szCs w:val="20"/>
              </w:rPr>
              <w:t>риемная гильза должна быть изготовлена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C02C6">
              <w:rPr>
                <w:rFonts w:eastAsia="Calibri"/>
                <w:bCs/>
                <w:sz w:val="20"/>
                <w:szCs w:val="20"/>
              </w:rPr>
              <w:t xml:space="preserve">по слепку с культи получателя </w:t>
            </w:r>
            <w:r w:rsidRPr="008C02C6">
              <w:rPr>
                <w:rFonts w:eastAsia="Calibri"/>
                <w:sz w:val="20"/>
                <w:szCs w:val="20"/>
                <w:lang w:eastAsia="en-US"/>
              </w:rPr>
              <w:t>индивидуально, из литьевого слоистого пластика на основе связующих смол.</w:t>
            </w:r>
            <w:r w:rsidRPr="008C02C6">
              <w:rPr>
                <w:rFonts w:eastAsia="Calibri"/>
                <w:sz w:val="20"/>
                <w:szCs w:val="20"/>
              </w:rPr>
              <w:t xml:space="preserve"> Протез крепится ремнем через плечо.</w:t>
            </w:r>
          </w:p>
          <w:p w:rsidR="00C85704" w:rsidRPr="008C02C6" w:rsidRDefault="00C85704" w:rsidP="003219A1">
            <w:pPr>
              <w:jc w:val="both"/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Приемные гильзы и крепления изделий не должны вызывать потертостей, сдавливания, ущемления и образования наплывов мягких тканей, нарушения кровообращения и болевых ощущений при пользовании изделием. Движения в подвижных соединениях протеза должны быть плавными, легкими и без заеданий. Элементы регулировки и фиксации подвижных элементов конструкции по размерам, конфигурации, а также по максимально допустимым усилиям, должны соответствовать физиологическим возможностям пользователя.</w:t>
            </w:r>
          </w:p>
        </w:tc>
        <w:tc>
          <w:tcPr>
            <w:tcW w:w="1559" w:type="dxa"/>
            <w:shd w:val="clear" w:color="auto" w:fill="auto"/>
          </w:tcPr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  <w:r w:rsidRPr="008C02C6">
              <w:rPr>
                <w:rFonts w:eastAsia="Calibri"/>
                <w:sz w:val="20"/>
                <w:szCs w:val="20"/>
              </w:rPr>
              <w:t>Протез плеча активный (тяговый)</w:t>
            </w:r>
          </w:p>
          <w:p w:rsidR="00C85704" w:rsidRPr="008C02C6" w:rsidRDefault="00C85704" w:rsidP="003219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C0433E" w:rsidRDefault="00C0433E" w:rsidP="007D52B1">
      <w:pPr>
        <w:rPr>
          <w:lang w:val="en-US"/>
        </w:rPr>
      </w:pPr>
    </w:p>
    <w:p w:rsidR="00C85704" w:rsidRPr="00D72D83" w:rsidRDefault="00D72D83" w:rsidP="00C85704">
      <w:pPr>
        <w:pStyle w:val="ConsPlusTitle"/>
        <w:ind w:left="-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D72D83">
        <w:rPr>
          <w:rFonts w:ascii="Times New Roman" w:hAnsi="Times New Roman" w:cs="Times New Roman"/>
          <w:b w:val="0"/>
          <w:szCs w:val="22"/>
        </w:rPr>
        <w:t xml:space="preserve">В соответствии с п.24 ст.22 </w:t>
      </w:r>
      <w:r w:rsidRPr="00D72D83">
        <w:rPr>
          <w:rFonts w:ascii="Times New Roman" w:hAnsi="Times New Roman" w:cs="Times New Roman"/>
          <w:b w:val="0"/>
          <w:bCs/>
          <w:iCs/>
          <w:szCs w:val="22"/>
        </w:rPr>
        <w:t xml:space="preserve">Федерального закона </w:t>
      </w:r>
      <w:r w:rsidRPr="00D72D83">
        <w:rPr>
          <w:rFonts w:ascii="Times New Roman" w:hAnsi="Times New Roman" w:cs="Times New Roman"/>
          <w:b w:val="0"/>
          <w:szCs w:val="22"/>
        </w:rPr>
        <w:t>44-ФЗ, «</w:t>
      </w:r>
      <w:r w:rsidRPr="00D72D83">
        <w:rPr>
          <w:rFonts w:ascii="Times New Roman" w:hAnsi="Times New Roman" w:cs="Times New Roman"/>
          <w:b w:val="0"/>
          <w:szCs w:val="22"/>
          <w:u w:val="single"/>
        </w:rPr>
        <w:t>в</w:t>
      </w:r>
      <w:r w:rsidRPr="00D72D83">
        <w:rPr>
          <w:rFonts w:ascii="Times New Roman" w:hAnsi="Times New Roman" w:cs="Times New Roman"/>
          <w:b w:val="0"/>
          <w:bCs/>
          <w:iCs/>
          <w:szCs w:val="22"/>
          <w:u w:val="single"/>
        </w:rPr>
        <w:t xml:space="preserve"> случае, если количество поставляемых товаров, объем подлежащих выполнению работ, оказанию услуг невозможно определить</w:t>
      </w:r>
      <w:r w:rsidRPr="00D72D83">
        <w:rPr>
          <w:rFonts w:ascii="Times New Roman" w:hAnsi="Times New Roman" w:cs="Times New Roman"/>
          <w:b w:val="0"/>
          <w:bCs/>
          <w:iCs/>
          <w:szCs w:val="22"/>
        </w:rPr>
        <w:t xml:space="preserve">, заказчик с учетом установленных в соответствии со </w:t>
      </w:r>
      <w:hyperlink r:id="rId6" w:history="1">
        <w:r w:rsidRPr="00D72D83">
          <w:rPr>
            <w:rStyle w:val="a9"/>
            <w:rFonts w:ascii="Times New Roman" w:hAnsi="Times New Roman" w:cs="Times New Roman"/>
            <w:b w:val="0"/>
            <w:bCs/>
            <w:iCs/>
            <w:color w:val="000000"/>
            <w:szCs w:val="22"/>
          </w:rPr>
          <w:t>ст.19</w:t>
        </w:r>
      </w:hyperlink>
      <w:r w:rsidRPr="00D72D83">
        <w:rPr>
          <w:rFonts w:ascii="Times New Roman" w:hAnsi="Times New Roman" w:cs="Times New Roman"/>
          <w:b w:val="0"/>
          <w:bCs/>
          <w:iCs/>
          <w:color w:val="000000"/>
          <w:szCs w:val="22"/>
        </w:rPr>
        <w:t xml:space="preserve"> </w:t>
      </w:r>
      <w:r w:rsidRPr="00D72D83">
        <w:rPr>
          <w:rFonts w:ascii="Times New Roman" w:hAnsi="Times New Roman" w:cs="Times New Roman"/>
          <w:b w:val="0"/>
          <w:bCs/>
          <w:iCs/>
          <w:szCs w:val="22"/>
        </w:rPr>
        <w:t xml:space="preserve">Федерального закона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</w:r>
      <w:r w:rsidRPr="00D72D83">
        <w:rPr>
          <w:rFonts w:ascii="Times New Roman" w:hAnsi="Times New Roman" w:cs="Times New Roman"/>
          <w:b w:val="0"/>
          <w:bCs/>
          <w:iCs/>
          <w:szCs w:val="22"/>
          <w:u w:val="single"/>
        </w:rPr>
        <w:t>определяет начальную цену единицы товара, работы, услуги, начальную сумму цен указанных единиц, максимальное значение цены контракта</w:t>
      </w:r>
      <w:r w:rsidRPr="00D72D83">
        <w:rPr>
          <w:rFonts w:ascii="Times New Roman" w:hAnsi="Times New Roman" w:cs="Times New Roman"/>
          <w:b w:val="0"/>
          <w:bCs/>
          <w:iCs/>
          <w:szCs w:val="22"/>
        </w:rPr>
        <w:t xml:space="preserve">, а также обосновывает в соответствии со </w:t>
      </w:r>
      <w:hyperlink r:id="rId7" w:history="1">
        <w:r w:rsidRPr="00D72D83">
          <w:rPr>
            <w:rStyle w:val="a9"/>
            <w:rFonts w:ascii="Times New Roman" w:hAnsi="Times New Roman" w:cs="Times New Roman"/>
            <w:b w:val="0"/>
            <w:bCs/>
            <w:iCs/>
            <w:color w:val="000000"/>
            <w:szCs w:val="22"/>
            <w:u w:val="none"/>
          </w:rPr>
          <w:t>ст.</w:t>
        </w:r>
      </w:hyperlink>
      <w:r w:rsidR="003328EC" w:rsidRPr="003328EC">
        <w:rPr>
          <w:rStyle w:val="a9"/>
          <w:rFonts w:ascii="Times New Roman" w:hAnsi="Times New Roman" w:cs="Times New Roman"/>
          <w:b w:val="0"/>
          <w:bCs/>
          <w:iCs/>
          <w:color w:val="000000"/>
          <w:szCs w:val="22"/>
          <w:u w:val="none"/>
        </w:rPr>
        <w:t>22</w:t>
      </w:r>
      <w:r w:rsidRPr="00D72D83">
        <w:rPr>
          <w:rFonts w:ascii="Times New Roman" w:hAnsi="Times New Roman" w:cs="Times New Roman"/>
          <w:b w:val="0"/>
          <w:bCs/>
          <w:iCs/>
          <w:color w:val="000000"/>
          <w:szCs w:val="22"/>
        </w:rPr>
        <w:t xml:space="preserve"> </w:t>
      </w:r>
      <w:r w:rsidRPr="00D72D83">
        <w:rPr>
          <w:rFonts w:ascii="Times New Roman" w:hAnsi="Times New Roman" w:cs="Times New Roman"/>
          <w:b w:val="0"/>
          <w:bCs/>
          <w:iCs/>
          <w:szCs w:val="22"/>
        </w:rPr>
        <w:t>Федерального закона 44-ФЗ цену единицы товара, работы, услуги»</w:t>
      </w:r>
      <w:r w:rsidRPr="00D72D83">
        <w:rPr>
          <w:rFonts w:ascii="Times New Roman" w:hAnsi="Times New Roman" w:cs="Times New Roman"/>
          <w:b w:val="0"/>
          <w:szCs w:val="22"/>
        </w:rPr>
        <w:t>.</w:t>
      </w:r>
    </w:p>
    <w:p w:rsidR="00C85704" w:rsidRDefault="00C85704" w:rsidP="00C85704">
      <w:pPr>
        <w:pStyle w:val="aa"/>
        <w:keepNext/>
        <w:spacing w:line="240" w:lineRule="auto"/>
        <w:jc w:val="both"/>
        <w:rPr>
          <w:b/>
          <w:sz w:val="24"/>
          <w:szCs w:val="24"/>
        </w:rPr>
      </w:pPr>
    </w:p>
    <w:p w:rsidR="00C85704" w:rsidRPr="00D22CAF" w:rsidRDefault="00C85704" w:rsidP="00C85704">
      <w:pPr>
        <w:pStyle w:val="aa"/>
        <w:keepNext/>
        <w:spacing w:line="240" w:lineRule="auto"/>
        <w:jc w:val="both"/>
        <w:rPr>
          <w:sz w:val="24"/>
          <w:szCs w:val="24"/>
        </w:rPr>
      </w:pPr>
      <w:r w:rsidRPr="00C85704">
        <w:rPr>
          <w:b/>
          <w:sz w:val="24"/>
          <w:szCs w:val="24"/>
        </w:rPr>
        <w:tab/>
      </w:r>
      <w:r>
        <w:rPr>
          <w:b/>
          <w:sz w:val="24"/>
          <w:szCs w:val="24"/>
        </w:rPr>
        <w:t>Максимальная Цена Контракта 4 000 000 рублей, объем Товара определяется в зависимости от потребности Получателей.</w:t>
      </w:r>
      <w:r w:rsidRPr="00D22C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Максимальная Цена Контракта определена в пределах лимитов бюджетных обязательств, предусмотренных на указанные единицы и утвержденных на соответствующий период</w:t>
      </w:r>
    </w:p>
    <w:p w:rsidR="00C85704" w:rsidRPr="00C85704" w:rsidRDefault="00C85704" w:rsidP="007D52B1"/>
    <w:p w:rsidR="00C85704" w:rsidRPr="000971F2" w:rsidRDefault="003C38BD" w:rsidP="00C85704">
      <w:pPr>
        <w:jc w:val="both"/>
        <w:rPr>
          <w:bCs/>
        </w:rPr>
      </w:pPr>
      <w:r>
        <w:tab/>
      </w:r>
      <w:r w:rsidR="00C85704" w:rsidRPr="004762BB">
        <w:t xml:space="preserve">Срок пользования изделиями устанавливается в соответствии с Приказом Минтруда России от 05.03.2021 г. № 107н «Об утверждении сроков пользования </w:t>
      </w:r>
      <w:r w:rsidR="00C85704" w:rsidRPr="000971F2">
        <w:t>техническими средствами реабилитации, протезами и протезно-ортопедическими изделиями».</w:t>
      </w:r>
    </w:p>
    <w:p w:rsidR="006053EB" w:rsidRDefault="00C85704" w:rsidP="00C85704">
      <w:pPr>
        <w:jc w:val="both"/>
        <w:rPr>
          <w:bCs/>
          <w:color w:val="000000"/>
        </w:rPr>
      </w:pPr>
      <w:r w:rsidRPr="000971F2">
        <w:rPr>
          <w:bCs/>
        </w:rPr>
        <w:tab/>
      </w:r>
      <w:r w:rsidRPr="00537BFB">
        <w:rPr>
          <w:bCs/>
          <w:color w:val="000000"/>
        </w:rPr>
        <w:t xml:space="preserve">Выполняемые работы и изделие должны соответствовать требованиям Межгосударственных стандартов ГОСТ </w:t>
      </w:r>
      <w:r w:rsidRPr="00537BFB">
        <w:rPr>
          <w:bCs/>
          <w:color w:val="000000"/>
          <w:lang w:val="en-US"/>
        </w:rPr>
        <w:t>ISO</w:t>
      </w:r>
      <w:r w:rsidRPr="00537BFB">
        <w:rPr>
          <w:bCs/>
          <w:color w:val="000000"/>
        </w:rPr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риска», ГОСТ </w:t>
      </w:r>
      <w:r w:rsidRPr="00537BFB">
        <w:rPr>
          <w:bCs/>
          <w:color w:val="000000"/>
          <w:lang w:val="en-US"/>
        </w:rPr>
        <w:t>ISO</w:t>
      </w:r>
      <w:r w:rsidRPr="00537BFB">
        <w:rPr>
          <w:bCs/>
          <w:color w:val="000000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7BFB">
        <w:rPr>
          <w:bCs/>
          <w:color w:val="000000"/>
        </w:rPr>
        <w:t>цитотоксичность</w:t>
      </w:r>
      <w:proofErr w:type="spellEnd"/>
      <w:r w:rsidRPr="00537BFB">
        <w:rPr>
          <w:bCs/>
          <w:color w:val="000000"/>
        </w:rPr>
        <w:t xml:space="preserve">: методы </w:t>
      </w:r>
      <w:proofErr w:type="spellStart"/>
      <w:r w:rsidRPr="00537BFB">
        <w:rPr>
          <w:bCs/>
          <w:color w:val="000000"/>
        </w:rPr>
        <w:t>in</w:t>
      </w:r>
      <w:proofErr w:type="spellEnd"/>
      <w:r w:rsidRPr="00537BFB">
        <w:rPr>
          <w:bCs/>
          <w:color w:val="000000"/>
        </w:rPr>
        <w:t xml:space="preserve"> </w:t>
      </w:r>
      <w:proofErr w:type="spellStart"/>
      <w:r w:rsidRPr="00537BFB">
        <w:rPr>
          <w:bCs/>
          <w:color w:val="000000"/>
        </w:rPr>
        <w:t>vitro</w:t>
      </w:r>
      <w:proofErr w:type="spellEnd"/>
      <w:r w:rsidRPr="00537BFB">
        <w:rPr>
          <w:bCs/>
          <w:color w:val="000000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57765-2021 «Изделия протезно-ортопедические. Общие технические требования»; ГОСТ Р 56138-2021 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537BFB">
        <w:rPr>
          <w:bCs/>
          <w:color w:val="000000"/>
        </w:rPr>
        <w:t>ортезы</w:t>
      </w:r>
      <w:proofErr w:type="spellEnd"/>
      <w:r w:rsidRPr="00537BFB">
        <w:rPr>
          <w:bCs/>
          <w:color w:val="000000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 w:rsidRPr="00CB08C6">
        <w:rPr>
          <w:bCs/>
          <w:color w:val="000000"/>
        </w:rPr>
        <w:t xml:space="preserve">ГОСТ Р </w:t>
      </w:r>
      <w:bookmarkStart w:id="0" w:name="_GoBack"/>
      <w:r w:rsidRPr="00CB08C6">
        <w:rPr>
          <w:bCs/>
          <w:color w:val="000000"/>
        </w:rPr>
        <w:t>51819</w:t>
      </w:r>
      <w:bookmarkEnd w:id="0"/>
      <w:r w:rsidRPr="00CB08C6">
        <w:rPr>
          <w:bCs/>
          <w:color w:val="000000"/>
        </w:rPr>
        <w:t xml:space="preserve">-2022 </w:t>
      </w:r>
      <w:r w:rsidRPr="00537BFB">
        <w:rPr>
          <w:bCs/>
          <w:color w:val="000000"/>
        </w:rPr>
        <w:t>«Протезирование и</w:t>
      </w:r>
      <w:r w:rsidRPr="00CB08C6">
        <w:rPr>
          <w:bCs/>
          <w:color w:val="000000"/>
        </w:rPr>
        <w:t xml:space="preserve"> </w:t>
      </w:r>
      <w:proofErr w:type="spellStart"/>
      <w:r w:rsidRPr="00CB08C6">
        <w:rPr>
          <w:bCs/>
          <w:color w:val="000000"/>
        </w:rPr>
        <w:t>ортезирование</w:t>
      </w:r>
      <w:proofErr w:type="spellEnd"/>
      <w:r w:rsidRPr="00CB08C6">
        <w:rPr>
          <w:bCs/>
          <w:color w:val="000000"/>
        </w:rPr>
        <w:t xml:space="preserve"> верхних и нижних конечностей. Термины и определ</w:t>
      </w:r>
      <w:r w:rsidR="00E16A21">
        <w:rPr>
          <w:bCs/>
          <w:color w:val="000000"/>
        </w:rPr>
        <w:t>ения».</w:t>
      </w:r>
    </w:p>
    <w:p w:rsidR="006053EB" w:rsidRPr="00F31EDA" w:rsidRDefault="006053EB" w:rsidP="006053EB">
      <w:pPr>
        <w:jc w:val="both"/>
        <w:rPr>
          <w:lang w:eastAsia="en-US"/>
        </w:rPr>
      </w:pPr>
      <w:r w:rsidRPr="009B0C7D">
        <w:rPr>
          <w:bCs/>
          <w:color w:val="000000"/>
        </w:rPr>
        <w:tab/>
      </w:r>
      <w:r w:rsidRPr="009B0C7D">
        <w:rPr>
          <w:lang w:eastAsia="en-US"/>
        </w:rPr>
        <w:t>Изделия не должны выделять при эксплуатации</w:t>
      </w:r>
      <w:r w:rsidRPr="00F31EDA">
        <w:rPr>
          <w:lang w:eastAsia="en-US"/>
        </w:rPr>
        <w:t xml:space="preserve"> токсичных и агрессивных веществ.</w:t>
      </w:r>
    </w:p>
    <w:p w:rsidR="006053EB" w:rsidRPr="005F246A" w:rsidRDefault="006053EB" w:rsidP="006053EB">
      <w:pPr>
        <w:jc w:val="both"/>
      </w:pPr>
      <w:r w:rsidRPr="00F31EDA">
        <w:tab/>
      </w:r>
      <w:r w:rsidRPr="00F31EDA">
        <w:rPr>
          <w:lang w:eastAsia="en-US"/>
        </w:rPr>
        <w:t>Изделия</w:t>
      </w:r>
      <w:r w:rsidRPr="00F31EDA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</w:t>
      </w:r>
      <w:r w:rsidRPr="005F246A">
        <w:t xml:space="preserve">. </w:t>
      </w:r>
    </w:p>
    <w:p w:rsidR="006053EB" w:rsidRPr="005F246A" w:rsidRDefault="006053EB" w:rsidP="006053EB">
      <w:pPr>
        <w:jc w:val="both"/>
      </w:pPr>
      <w:r w:rsidRPr="005F246A">
        <w:tab/>
      </w:r>
      <w:r w:rsidRPr="005F246A">
        <w:rPr>
          <w:lang w:eastAsia="en-US"/>
        </w:rPr>
        <w:t>Изделия</w:t>
      </w:r>
      <w:r w:rsidRPr="005F246A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5F246A">
        <w:tab/>
      </w:r>
    </w:p>
    <w:p w:rsidR="006053EB" w:rsidRPr="005F246A" w:rsidRDefault="006053EB" w:rsidP="006053EB">
      <w:pPr>
        <w:jc w:val="both"/>
      </w:pPr>
      <w:r w:rsidRPr="005F246A">
        <w:tab/>
        <w:t>-безопасность для кожных покровов;</w:t>
      </w:r>
    </w:p>
    <w:p w:rsidR="006053EB" w:rsidRPr="005F246A" w:rsidRDefault="006053EB" w:rsidP="006053EB">
      <w:pPr>
        <w:jc w:val="both"/>
      </w:pPr>
      <w:r w:rsidRPr="005F246A">
        <w:tab/>
        <w:t>-комфортность;</w:t>
      </w:r>
    </w:p>
    <w:p w:rsidR="006053EB" w:rsidRPr="005F246A" w:rsidRDefault="006053EB" w:rsidP="006053EB">
      <w:pPr>
        <w:ind w:firstLine="708"/>
        <w:jc w:val="both"/>
      </w:pPr>
      <w:r w:rsidRPr="005F246A">
        <w:t>-эстетичность;</w:t>
      </w:r>
    </w:p>
    <w:p w:rsidR="006053EB" w:rsidRPr="005F246A" w:rsidRDefault="006053EB" w:rsidP="006053EB">
      <w:pPr>
        <w:jc w:val="both"/>
      </w:pPr>
      <w:r w:rsidRPr="005F246A">
        <w:tab/>
        <w:t>-простота пользования.</w:t>
      </w:r>
    </w:p>
    <w:p w:rsidR="000B79E8" w:rsidRPr="00D470EB" w:rsidRDefault="006053EB" w:rsidP="006053EB">
      <w:pPr>
        <w:jc w:val="both"/>
        <w:rPr>
          <w:lang w:eastAsia="ru-RU"/>
        </w:rPr>
      </w:pPr>
      <w:r w:rsidRPr="005F246A">
        <w:tab/>
        <w:t>Материалы, применяемые для изготовления и</w:t>
      </w:r>
      <w:r w:rsidRPr="005F246A">
        <w:rPr>
          <w:lang w:eastAsia="en-US"/>
        </w:rPr>
        <w:t>зделий</w:t>
      </w:r>
      <w:r w:rsidRPr="005F246A">
        <w:t xml:space="preserve">, не должны содержать </w:t>
      </w:r>
      <w:r w:rsidRPr="00537BFB">
        <w:t>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</w:t>
      </w:r>
      <w:r w:rsidR="00673F3B" w:rsidRPr="00B6634E">
        <w:t>.</w:t>
      </w:r>
    </w:p>
    <w:p w:rsidR="000B79E8" w:rsidRPr="00D470EB" w:rsidRDefault="000B79E8" w:rsidP="0066671F">
      <w:pPr>
        <w:ind w:firstLine="708"/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C85704" w:rsidRPr="00762EB2">
        <w:rPr>
          <w:rFonts w:eastAsia="Calibri"/>
        </w:rPr>
        <w:t>на протезы верхних конечностей – 7 месяцев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="00C85704" w:rsidRPr="00762EB2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Исполнителем.</w:t>
      </w:r>
      <w:r w:rsidRPr="00D470EB">
        <w:rPr>
          <w:rFonts w:eastAsia="Calibri"/>
        </w:rPr>
        <w:t xml:space="preserve"> </w:t>
      </w:r>
    </w:p>
    <w:p w:rsidR="00C85704" w:rsidRPr="00762EB2" w:rsidRDefault="00C85704" w:rsidP="00C85704">
      <w:pPr>
        <w:jc w:val="both"/>
        <w:rPr>
          <w:color w:val="00000A"/>
          <w:lang w:eastAsia="ru-RU"/>
        </w:rPr>
      </w:pPr>
      <w:r w:rsidRPr="00762EB2">
        <w:rPr>
          <w:rFonts w:eastAsia="Arial"/>
          <w:b/>
          <w:bCs/>
        </w:rPr>
        <w:t xml:space="preserve">Место выполнения работ: </w:t>
      </w:r>
      <w:r w:rsidRPr="00762EB2">
        <w:rPr>
          <w:rFonts w:eastAsia="Arial"/>
          <w:bCs/>
        </w:rPr>
        <w:t>по месту нахождения Исполнителя (</w:t>
      </w:r>
      <w:r w:rsidRPr="00762EB2">
        <w:rPr>
          <w:rFonts w:eastAsia="Arial"/>
          <w:color w:val="000000"/>
        </w:rPr>
        <w:t>соисполнителя</w:t>
      </w:r>
      <w:r w:rsidRPr="00762EB2">
        <w:rPr>
          <w:rFonts w:eastAsia="Arial"/>
          <w:bCs/>
        </w:rPr>
        <w:t xml:space="preserve">). </w:t>
      </w:r>
    </w:p>
    <w:p w:rsidR="00C85704" w:rsidRPr="00034923" w:rsidRDefault="00C85704" w:rsidP="00C85704">
      <w:pPr>
        <w:ind w:firstLine="708"/>
        <w:jc w:val="both"/>
      </w:pPr>
      <w:r w:rsidRPr="00762EB2">
        <w:rPr>
          <w:rFonts w:eastAsia="Arial"/>
          <w:b/>
          <w:bCs/>
        </w:rPr>
        <w:t>Прием Получателей, выдача Получателям протезно</w:t>
      </w:r>
      <w:r>
        <w:rPr>
          <w:rFonts w:eastAsia="Arial"/>
          <w:b/>
          <w:bCs/>
        </w:rPr>
        <w:t>-ортопедических</w:t>
      </w:r>
      <w:r w:rsidRPr="00455BE6">
        <w:rPr>
          <w:rFonts w:eastAsia="Arial"/>
          <w:b/>
          <w:bCs/>
        </w:rPr>
        <w:t xml:space="preserve"> издели</w:t>
      </w:r>
      <w:r>
        <w:rPr>
          <w:rFonts w:eastAsia="Arial"/>
          <w:b/>
          <w:bCs/>
        </w:rPr>
        <w:t>й</w:t>
      </w:r>
      <w:r w:rsidRPr="00455BE6">
        <w:rPr>
          <w:rFonts w:eastAsia="Arial"/>
          <w:b/>
          <w:bCs/>
        </w:rPr>
        <w:t xml:space="preserve">: </w:t>
      </w:r>
      <w:r w:rsidRPr="002C26DC">
        <w:rPr>
          <w:rFonts w:eastAsia="Arial"/>
          <w:bCs/>
        </w:rPr>
        <w:t>прием</w:t>
      </w:r>
      <w:r>
        <w:rPr>
          <w:rFonts w:eastAsia="Arial"/>
          <w:bCs/>
        </w:rPr>
        <w:t xml:space="preserve"> граждан с направлениями, </w:t>
      </w:r>
      <w:r w:rsidRPr="00455BE6">
        <w:rPr>
          <w:rFonts w:eastAsia="Arial"/>
          <w:bCs/>
        </w:rPr>
        <w:t>п</w:t>
      </w:r>
      <w:r w:rsidRPr="00455BE6">
        <w:t>римерка, обучение пользованию и выдача изделий производится в Удмуртской Республике</w:t>
      </w:r>
      <w:r w:rsidRPr="00455BE6">
        <w:rPr>
          <w:rFonts w:eastAsia="Arial"/>
          <w:color w:val="000000"/>
        </w:rPr>
        <w:t xml:space="preserve"> в специально оборудованном помещении</w:t>
      </w:r>
      <w:r w:rsidRPr="00034923">
        <w:t>.</w:t>
      </w:r>
    </w:p>
    <w:p w:rsidR="00C85704" w:rsidRPr="00034923" w:rsidRDefault="00C85704" w:rsidP="00C85704">
      <w:pPr>
        <w:jc w:val="both"/>
      </w:pPr>
      <w:r w:rsidRPr="00034923">
        <w:tab/>
      </w:r>
      <w:r w:rsidRPr="00034923">
        <w:rPr>
          <w:b/>
        </w:rPr>
        <w:t>Срок выполнения работ:</w:t>
      </w:r>
    </w:p>
    <w:p w:rsidR="00C85704" w:rsidRPr="00034923" w:rsidRDefault="00C85704" w:rsidP="00C85704">
      <w:pPr>
        <w:jc w:val="both"/>
      </w:pPr>
      <w:r w:rsidRPr="00034923">
        <w:t xml:space="preserve"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выполнить все работы в срок не позднее 20 </w:t>
      </w:r>
      <w:r>
        <w:rPr>
          <w:rFonts w:eastAsia="Calibri"/>
        </w:rPr>
        <w:t>августа</w:t>
      </w:r>
      <w:r w:rsidRPr="00034923">
        <w:rPr>
          <w:rFonts w:eastAsia="Calibri"/>
        </w:rPr>
        <w:t xml:space="preserve"> 202</w:t>
      </w:r>
      <w:r w:rsidRPr="00E973F6">
        <w:rPr>
          <w:rFonts w:eastAsia="Calibri"/>
        </w:rPr>
        <w:t>3</w:t>
      </w:r>
      <w:r w:rsidRPr="00034923">
        <w:rPr>
          <w:rFonts w:eastAsia="Calibri"/>
        </w:rPr>
        <w:t>г.</w:t>
      </w:r>
    </w:p>
    <w:p w:rsidR="00C85704" w:rsidRPr="00034923" w:rsidRDefault="00C85704" w:rsidP="00C85704">
      <w:pPr>
        <w:pStyle w:val="4"/>
        <w:jc w:val="both"/>
        <w:rPr>
          <w:sz w:val="24"/>
          <w:szCs w:val="24"/>
        </w:rPr>
      </w:pPr>
      <w:r w:rsidRPr="00034923">
        <w:rPr>
          <w:sz w:val="24"/>
          <w:szCs w:val="24"/>
        </w:rPr>
        <w:t xml:space="preserve">2. Срок обеспечения Получателя протезно-ортопедическим изделием - </w:t>
      </w:r>
      <w:r w:rsidRPr="00034923">
        <w:rPr>
          <w:rFonts w:eastAsia="Calibri"/>
          <w:sz w:val="24"/>
          <w:szCs w:val="24"/>
        </w:rPr>
        <w:t xml:space="preserve">в течение 60 календарных дней с даты предъявления Получателем направления, оформленного Заказчиком, но не позднее 20 </w:t>
      </w:r>
      <w:r>
        <w:rPr>
          <w:rFonts w:eastAsia="Calibri"/>
          <w:sz w:val="24"/>
          <w:szCs w:val="24"/>
        </w:rPr>
        <w:t>августа</w:t>
      </w:r>
      <w:r w:rsidRPr="00034923">
        <w:rPr>
          <w:rFonts w:eastAsia="Calibri"/>
          <w:sz w:val="24"/>
          <w:szCs w:val="24"/>
        </w:rPr>
        <w:t xml:space="preserve"> 202</w:t>
      </w:r>
      <w:r w:rsidRPr="00E973F6">
        <w:rPr>
          <w:rFonts w:eastAsia="Calibri"/>
          <w:sz w:val="24"/>
          <w:szCs w:val="24"/>
        </w:rPr>
        <w:t>3</w:t>
      </w:r>
      <w:r w:rsidRPr="00034923">
        <w:rPr>
          <w:rFonts w:eastAsia="Calibri"/>
          <w:sz w:val="24"/>
          <w:szCs w:val="24"/>
        </w:rPr>
        <w:t>г.</w:t>
      </w:r>
    </w:p>
    <w:p w:rsidR="00C85704" w:rsidRPr="000971F2" w:rsidRDefault="00C85704" w:rsidP="00C85704">
      <w:pPr>
        <w:jc w:val="both"/>
      </w:pPr>
    </w:p>
    <w:p w:rsidR="00F71509" w:rsidRDefault="00C85704" w:rsidP="00C85704">
      <w:pPr>
        <w:jc w:val="both"/>
        <w:rPr>
          <w:rFonts w:eastAsia="Calibri"/>
          <w:b/>
        </w:rPr>
      </w:pPr>
      <w:r w:rsidRPr="000971F2">
        <w:t>Исполнитель должен гарантировать, что изделия передаются свободными</w:t>
      </w:r>
      <w:r w:rsidRPr="00537BFB">
        <w:t xml:space="preserve"> от прав третьих лиц и не является предметом залога, ареста или иного обременения.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977C4"/>
    <w:rsid w:val="001B44D8"/>
    <w:rsid w:val="001C026C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328EC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053EB"/>
    <w:rsid w:val="00611B88"/>
    <w:rsid w:val="00616779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A4AA3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A186C"/>
    <w:rsid w:val="00AC2FCB"/>
    <w:rsid w:val="00AC3CC5"/>
    <w:rsid w:val="00AD410B"/>
    <w:rsid w:val="00B11A66"/>
    <w:rsid w:val="00B231E6"/>
    <w:rsid w:val="00B25E3F"/>
    <w:rsid w:val="00B43A22"/>
    <w:rsid w:val="00B445D7"/>
    <w:rsid w:val="00B55C25"/>
    <w:rsid w:val="00B70F57"/>
    <w:rsid w:val="00B7431C"/>
    <w:rsid w:val="00B84307"/>
    <w:rsid w:val="00BC003D"/>
    <w:rsid w:val="00BC1F1D"/>
    <w:rsid w:val="00C0433E"/>
    <w:rsid w:val="00C45771"/>
    <w:rsid w:val="00C676D2"/>
    <w:rsid w:val="00C85704"/>
    <w:rsid w:val="00C8767D"/>
    <w:rsid w:val="00CB11FB"/>
    <w:rsid w:val="00CB4FE6"/>
    <w:rsid w:val="00CC173C"/>
    <w:rsid w:val="00CC41A8"/>
    <w:rsid w:val="00D000F8"/>
    <w:rsid w:val="00D06063"/>
    <w:rsid w:val="00D27CEB"/>
    <w:rsid w:val="00D30587"/>
    <w:rsid w:val="00D33645"/>
    <w:rsid w:val="00D470EB"/>
    <w:rsid w:val="00D63A77"/>
    <w:rsid w:val="00D72D83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16A21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5D80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67C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0258-51AC-4972-9FEF-7D010790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D000F8"/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C8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006A-9CFA-453C-B31D-365F42CB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Потопаев Сергей Владимирович</cp:lastModifiedBy>
  <cp:revision>3</cp:revision>
  <cp:lastPrinted>2022-10-12T09:17:00Z</cp:lastPrinted>
  <dcterms:created xsi:type="dcterms:W3CDTF">2022-11-07T05:00:00Z</dcterms:created>
  <dcterms:modified xsi:type="dcterms:W3CDTF">2022-11-07T11:10:00Z</dcterms:modified>
</cp:coreProperties>
</file>