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36" w:rsidRPr="00715747" w:rsidRDefault="00715747" w:rsidP="00715747">
      <w:pPr>
        <w:keepNext/>
        <w:ind w:left="-284" w:right="283" w:firstLine="851"/>
        <w:jc w:val="center"/>
        <w:rPr>
          <w:b/>
        </w:rPr>
      </w:pPr>
      <w:r w:rsidRPr="00715747">
        <w:rPr>
          <w:b/>
        </w:rPr>
        <w:t>Описание объекта закупки</w:t>
      </w:r>
    </w:p>
    <w:p w:rsidR="005B5A8B" w:rsidRPr="00715747" w:rsidRDefault="005B5A8B" w:rsidP="00715747">
      <w:pPr>
        <w:keepNext/>
        <w:ind w:left="-284" w:right="283" w:firstLine="851"/>
        <w:jc w:val="center"/>
        <w:rPr>
          <w:b/>
        </w:rPr>
      </w:pPr>
      <w:r w:rsidRPr="00715747">
        <w:rPr>
          <w:b/>
        </w:rPr>
        <w:t xml:space="preserve">на </w:t>
      </w:r>
      <w:r w:rsidR="007B502A" w:rsidRPr="00715747">
        <w:rPr>
          <w:b/>
        </w:rPr>
        <w:t>поставку подгузников для  взрослых для обеспечения инвалидов</w:t>
      </w:r>
    </w:p>
    <w:p w:rsidR="00A169DE" w:rsidRPr="00715747" w:rsidRDefault="00A169DE" w:rsidP="00715747">
      <w:pPr>
        <w:keepNext/>
        <w:ind w:left="-284" w:right="283" w:firstLine="851"/>
        <w:jc w:val="center"/>
        <w:rPr>
          <w:b/>
        </w:rPr>
      </w:pPr>
    </w:p>
    <w:p w:rsidR="00FA627F" w:rsidRPr="00715747" w:rsidRDefault="00FA627F" w:rsidP="00715747">
      <w:pPr>
        <w:widowControl w:val="0"/>
        <w:shd w:val="clear" w:color="auto" w:fill="FFFFFF"/>
        <w:ind w:firstLine="851"/>
        <w:jc w:val="both"/>
      </w:pPr>
      <w:r w:rsidRPr="00715747"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</w:t>
      </w:r>
      <w:proofErr w:type="gramStart"/>
      <w:r w:rsidRPr="00715747">
        <w:t>есть</w:t>
      </w:r>
      <w:proofErr w:type="gramEnd"/>
      <w:r w:rsidRPr="00715747">
        <w:t xml:space="preserve">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FA627F" w:rsidRPr="00715747" w:rsidRDefault="00FA627F" w:rsidP="00715747">
      <w:pPr>
        <w:widowControl w:val="0"/>
        <w:shd w:val="clear" w:color="auto" w:fill="FFFFFF"/>
        <w:ind w:firstLine="851"/>
        <w:jc w:val="both"/>
      </w:pPr>
      <w:r w:rsidRPr="00715747"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FA627F" w:rsidRPr="00715747" w:rsidRDefault="00FA627F" w:rsidP="00715747">
      <w:pPr>
        <w:widowControl w:val="0"/>
        <w:shd w:val="clear" w:color="auto" w:fill="FFFFFF"/>
        <w:ind w:firstLine="851"/>
        <w:jc w:val="both"/>
      </w:pPr>
    </w:p>
    <w:p w:rsidR="007B502A" w:rsidRPr="00715747" w:rsidRDefault="007B502A" w:rsidP="00715747">
      <w:pPr>
        <w:shd w:val="clear" w:color="auto" w:fill="FFFFFF"/>
        <w:ind w:firstLine="851"/>
        <w:jc w:val="both"/>
        <w:rPr>
          <w:b/>
        </w:rPr>
      </w:pPr>
      <w:r w:rsidRPr="00715747">
        <w:rPr>
          <w:b/>
        </w:rPr>
        <w:t xml:space="preserve">Описание объекта закупки: </w:t>
      </w:r>
    </w:p>
    <w:p w:rsidR="007B502A" w:rsidRPr="00715747" w:rsidRDefault="007B502A" w:rsidP="00715747">
      <w:pPr>
        <w:shd w:val="clear" w:color="auto" w:fill="FFFFFF"/>
        <w:ind w:firstLine="851"/>
        <w:jc w:val="both"/>
      </w:pPr>
      <w:r w:rsidRPr="00715747">
        <w:t>Подгузники предназначены для соблюдения санитарно-гигиенических условий для инвалидов с нарушениями функций выделения.</w:t>
      </w:r>
    </w:p>
    <w:p w:rsidR="007B502A" w:rsidRPr="00715747" w:rsidRDefault="007B502A" w:rsidP="00715747">
      <w:pPr>
        <w:shd w:val="clear" w:color="auto" w:fill="FFFFFF"/>
        <w:ind w:firstLine="851"/>
        <w:jc w:val="both"/>
      </w:pPr>
      <w:r w:rsidRPr="00715747">
        <w:t xml:space="preserve">К поставке должны быть предложены: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47"/>
        <w:gridCol w:w="14"/>
        <w:gridCol w:w="2551"/>
      </w:tblGrid>
      <w:tr w:rsidR="00715747" w:rsidRPr="00715747" w:rsidTr="002B3D91">
        <w:trPr>
          <w:trHeight w:val="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747" w:rsidRPr="00715747" w:rsidRDefault="00715747" w:rsidP="00715747">
            <w:pPr>
              <w:jc w:val="center"/>
              <w:rPr>
                <w:rFonts w:eastAsia="Calibri"/>
                <w:b/>
                <w:lang w:eastAsia="en-US"/>
              </w:rPr>
            </w:pPr>
            <w:r w:rsidRPr="00715747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715747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715747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47" w:rsidRPr="00715747" w:rsidRDefault="00715747" w:rsidP="00715747">
            <w:pPr>
              <w:ind w:firstLine="33"/>
              <w:jc w:val="center"/>
              <w:rPr>
                <w:rFonts w:eastAsia="Calibri"/>
                <w:b/>
                <w:lang w:eastAsia="en-US"/>
              </w:rPr>
            </w:pPr>
            <w:r w:rsidRPr="00715747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47" w:rsidRPr="00715747" w:rsidRDefault="00715747" w:rsidP="00715747">
            <w:pPr>
              <w:jc w:val="center"/>
              <w:rPr>
                <w:rFonts w:eastAsia="Calibri"/>
                <w:b/>
                <w:lang w:eastAsia="en-US"/>
              </w:rPr>
            </w:pPr>
            <w:r w:rsidRPr="00715747">
              <w:rPr>
                <w:rFonts w:eastAsia="Calibri"/>
                <w:b/>
                <w:lang w:eastAsia="en-US"/>
              </w:rPr>
              <w:t xml:space="preserve">Количество, </w:t>
            </w:r>
            <w:proofErr w:type="spellStart"/>
            <w:proofErr w:type="gramStart"/>
            <w:r w:rsidRPr="00715747">
              <w:rPr>
                <w:rFonts w:eastAsia="Calibri"/>
                <w:b/>
                <w:lang w:eastAsia="en-US"/>
              </w:rPr>
              <w:t>шт</w:t>
            </w:r>
            <w:proofErr w:type="spellEnd"/>
            <w:proofErr w:type="gramEnd"/>
          </w:p>
        </w:tc>
      </w:tr>
      <w:tr w:rsidR="00715747" w:rsidRPr="00715747" w:rsidTr="002B3D9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47" w:rsidRPr="00715747" w:rsidRDefault="00715747" w:rsidP="00715747">
            <w:pPr>
              <w:jc w:val="center"/>
            </w:pPr>
            <w:r w:rsidRPr="00715747">
              <w:t>22-01-06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47" w:rsidRPr="00715747" w:rsidRDefault="00715747" w:rsidP="00715747">
            <w:pPr>
              <w:spacing w:before="100" w:beforeAutospacing="1" w:line="238" w:lineRule="atLeast"/>
              <w:ind w:hanging="108"/>
              <w:jc w:val="both"/>
            </w:pPr>
            <w:r w:rsidRPr="00715747"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47" w:rsidRPr="00715747" w:rsidRDefault="00715747" w:rsidP="00715747">
            <w:pPr>
              <w:spacing w:before="100" w:beforeAutospacing="1" w:line="238" w:lineRule="atLeast"/>
              <w:ind w:firstLine="48"/>
              <w:jc w:val="center"/>
              <w:rPr>
                <w:lang w:val="en-US"/>
              </w:rPr>
            </w:pPr>
            <w:r w:rsidRPr="00715747">
              <w:rPr>
                <w:lang w:val="en-US"/>
              </w:rPr>
              <w:t>28 140</w:t>
            </w:r>
          </w:p>
        </w:tc>
      </w:tr>
      <w:tr w:rsidR="00715747" w:rsidRPr="00715747" w:rsidTr="002B3D9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47" w:rsidRPr="00715747" w:rsidRDefault="00715747" w:rsidP="00715747">
            <w:pPr>
              <w:jc w:val="center"/>
            </w:pPr>
            <w:r w:rsidRPr="00715747">
              <w:t>22-01-07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47" w:rsidRPr="00715747" w:rsidRDefault="00715747" w:rsidP="00715747">
            <w:pPr>
              <w:spacing w:before="100" w:beforeAutospacing="1" w:line="238" w:lineRule="atLeast"/>
              <w:ind w:hanging="108"/>
              <w:jc w:val="both"/>
            </w:pPr>
            <w:r w:rsidRPr="00715747"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47" w:rsidRPr="00715747" w:rsidRDefault="00715747" w:rsidP="00715747">
            <w:pPr>
              <w:spacing w:before="100" w:beforeAutospacing="1" w:line="238" w:lineRule="atLeast"/>
              <w:ind w:firstLine="48"/>
              <w:jc w:val="center"/>
              <w:rPr>
                <w:lang w:val="en-US"/>
              </w:rPr>
            </w:pPr>
            <w:r w:rsidRPr="00715747">
              <w:rPr>
                <w:lang w:val="en-US"/>
              </w:rPr>
              <w:t>8 690</w:t>
            </w:r>
          </w:p>
        </w:tc>
      </w:tr>
      <w:tr w:rsidR="00715747" w:rsidRPr="00715747" w:rsidTr="002B3D9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47" w:rsidRPr="00715747" w:rsidRDefault="00715747" w:rsidP="00715747">
            <w:pPr>
              <w:jc w:val="center"/>
              <w:rPr>
                <w:rFonts w:eastAsia="Calibri"/>
                <w:lang w:eastAsia="en-US"/>
              </w:rPr>
            </w:pPr>
            <w:r w:rsidRPr="00715747">
              <w:t>22-01-12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47" w:rsidRPr="00715747" w:rsidRDefault="00715747" w:rsidP="00715747">
            <w:pPr>
              <w:spacing w:before="100" w:beforeAutospacing="1" w:line="238" w:lineRule="atLeast"/>
              <w:ind w:hanging="108"/>
              <w:jc w:val="both"/>
            </w:pPr>
            <w:r w:rsidRPr="00715747"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47" w:rsidRPr="00715747" w:rsidRDefault="00715747" w:rsidP="00715747">
            <w:pPr>
              <w:spacing w:before="100" w:beforeAutospacing="1" w:line="238" w:lineRule="atLeast"/>
              <w:ind w:firstLine="48"/>
              <w:jc w:val="center"/>
              <w:rPr>
                <w:lang w:val="en-US"/>
              </w:rPr>
            </w:pPr>
            <w:r w:rsidRPr="00715747">
              <w:rPr>
                <w:lang w:val="en-US"/>
              </w:rPr>
              <w:t>12 330</w:t>
            </w:r>
          </w:p>
        </w:tc>
      </w:tr>
      <w:tr w:rsidR="00715747" w:rsidRPr="00715747" w:rsidTr="002B3D9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47" w:rsidRPr="00715747" w:rsidRDefault="00715747" w:rsidP="00715747">
            <w:pPr>
              <w:jc w:val="center"/>
              <w:rPr>
                <w:rFonts w:eastAsia="Calibri"/>
                <w:lang w:eastAsia="en-US"/>
              </w:rPr>
            </w:pPr>
            <w:r w:rsidRPr="00715747">
              <w:t>22-01-13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47" w:rsidRPr="00715747" w:rsidRDefault="00715747" w:rsidP="00715747">
            <w:pPr>
              <w:spacing w:before="100" w:beforeAutospacing="1" w:line="238" w:lineRule="atLeast"/>
              <w:ind w:hanging="108"/>
              <w:jc w:val="both"/>
            </w:pPr>
            <w:r w:rsidRPr="00715747"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47" w:rsidRPr="00715747" w:rsidRDefault="00715747" w:rsidP="00715747">
            <w:pPr>
              <w:spacing w:before="100" w:beforeAutospacing="1" w:line="238" w:lineRule="atLeast"/>
              <w:ind w:firstLine="48"/>
              <w:jc w:val="center"/>
              <w:rPr>
                <w:lang w:val="en-US"/>
              </w:rPr>
            </w:pPr>
            <w:r w:rsidRPr="00715747">
              <w:rPr>
                <w:lang w:val="en-US"/>
              </w:rPr>
              <w:t>7 420</w:t>
            </w:r>
          </w:p>
        </w:tc>
      </w:tr>
      <w:tr w:rsidR="00715747" w:rsidRPr="00715747" w:rsidTr="002B3D9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747" w:rsidRPr="00715747" w:rsidRDefault="00715747" w:rsidP="00715747">
            <w:pPr>
              <w:jc w:val="center"/>
              <w:rPr>
                <w:rFonts w:eastAsia="Calibri"/>
                <w:lang w:eastAsia="en-US"/>
              </w:rPr>
            </w:pPr>
            <w:r w:rsidRPr="00715747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47" w:rsidRPr="00715747" w:rsidRDefault="00715747" w:rsidP="00715747">
            <w:pPr>
              <w:spacing w:before="100" w:beforeAutospacing="1" w:line="238" w:lineRule="atLeast"/>
              <w:ind w:firstLine="851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47" w:rsidRPr="00715747" w:rsidRDefault="00715747" w:rsidP="00715747">
            <w:pPr>
              <w:spacing w:before="100" w:beforeAutospacing="1" w:line="238" w:lineRule="atLeast"/>
              <w:ind w:firstLine="48"/>
              <w:jc w:val="center"/>
              <w:rPr>
                <w:lang w:val="en-US"/>
              </w:rPr>
            </w:pPr>
            <w:r w:rsidRPr="00715747">
              <w:rPr>
                <w:lang w:val="en-US"/>
              </w:rPr>
              <w:t>56 580</w:t>
            </w:r>
          </w:p>
        </w:tc>
      </w:tr>
    </w:tbl>
    <w:p w:rsidR="00715747" w:rsidRPr="004D4007" w:rsidRDefault="00715747" w:rsidP="00715747">
      <w:pPr>
        <w:autoSpaceDE w:val="0"/>
        <w:autoSpaceDN w:val="0"/>
        <w:adjustRightInd w:val="0"/>
        <w:ind w:firstLine="567"/>
        <w:jc w:val="both"/>
      </w:pPr>
      <w:r w:rsidRPr="004D4007">
        <w:t xml:space="preserve">Конкретные размеры подгузников указываются в реестре получателей товара, выдаваемых на основании индивидуальной программы реабилитации или </w:t>
      </w:r>
      <w:proofErr w:type="spellStart"/>
      <w:r w:rsidRPr="004D4007">
        <w:t>абилитации</w:t>
      </w:r>
      <w:proofErr w:type="spellEnd"/>
      <w:r w:rsidRPr="004D4007">
        <w:t xml:space="preserve"> инвалидов.</w:t>
      </w:r>
    </w:p>
    <w:p w:rsidR="00715747" w:rsidRPr="004D4007" w:rsidRDefault="00715747" w:rsidP="00715747">
      <w:pPr>
        <w:keepNext/>
        <w:tabs>
          <w:tab w:val="left" w:pos="708"/>
        </w:tabs>
        <w:ind w:firstLine="567"/>
        <w:jc w:val="both"/>
      </w:pPr>
      <w:r w:rsidRPr="004D4007">
        <w:t xml:space="preserve">Подгузники для взрослых должны соответствовать требованиям стандарта: </w:t>
      </w:r>
    </w:p>
    <w:p w:rsidR="00715747" w:rsidRPr="004D4007" w:rsidRDefault="00715747" w:rsidP="00715747">
      <w:pPr>
        <w:ind w:firstLine="567"/>
        <w:jc w:val="both"/>
      </w:pPr>
      <w:r w:rsidRPr="004D4007">
        <w:t xml:space="preserve">ГОСТ </w:t>
      </w:r>
      <w:proofErr w:type="gramStart"/>
      <w:r w:rsidRPr="004D4007">
        <w:t>Р</w:t>
      </w:r>
      <w:proofErr w:type="gramEnd"/>
      <w:r w:rsidRPr="004D4007">
        <w:t xml:space="preserve"> 55082-2012 «Изделия бумажные медицинского назначения. Подгузники для взрослых».</w:t>
      </w:r>
    </w:p>
    <w:p w:rsidR="00715747" w:rsidRPr="004D4007" w:rsidRDefault="00715747" w:rsidP="00715747">
      <w:pPr>
        <w:ind w:firstLine="567"/>
        <w:jc w:val="both"/>
      </w:pPr>
      <w:r w:rsidRPr="004D4007">
        <w:t xml:space="preserve">В соответствии с требованиями п.5.3 ГОСТ </w:t>
      </w:r>
      <w:proofErr w:type="gramStart"/>
      <w:r w:rsidRPr="004D4007">
        <w:t>Р</w:t>
      </w:r>
      <w:proofErr w:type="gramEnd"/>
      <w:r w:rsidRPr="004D4007">
        <w:t xml:space="preserve"> 55082-2012 «Изделия бумажные медицинского назначения. Подгузники для взрослых» подгузники должны быть изготовлены в виде раскроя трусов с фиксирующими элементами. </w:t>
      </w:r>
    </w:p>
    <w:p w:rsidR="00715747" w:rsidRPr="004D4007" w:rsidRDefault="00715747" w:rsidP="00715747">
      <w:pPr>
        <w:ind w:firstLine="567"/>
        <w:jc w:val="both"/>
      </w:pPr>
      <w:r w:rsidRPr="004D4007">
        <w:t xml:space="preserve">Подгузник должен обеспечивать возможность его использования мужчинами и женщинами. </w:t>
      </w:r>
    </w:p>
    <w:p w:rsidR="00715747" w:rsidRPr="004D4007" w:rsidRDefault="00715747" w:rsidP="00715747">
      <w:pPr>
        <w:ind w:firstLine="567"/>
        <w:jc w:val="both"/>
      </w:pPr>
      <w:r w:rsidRPr="004D4007">
        <w:t>Подгузники должны обеспечивать соблюдение санитарно-гигиенических условий для инвалидов с нарушениями функций выделения.</w:t>
      </w:r>
    </w:p>
    <w:p w:rsidR="00715747" w:rsidRPr="004D4007" w:rsidRDefault="00715747" w:rsidP="00715747">
      <w:pPr>
        <w:ind w:firstLine="567"/>
        <w:jc w:val="both"/>
      </w:pPr>
      <w:r w:rsidRPr="004D4007">
        <w:t>Подгузники должны отвечать требованиям безопасности в течение всего срока пользования.</w:t>
      </w:r>
    </w:p>
    <w:p w:rsidR="00715747" w:rsidRPr="004D4007" w:rsidRDefault="00715747" w:rsidP="00715747">
      <w:pPr>
        <w:ind w:firstLine="567"/>
        <w:jc w:val="both"/>
      </w:pPr>
      <w:r w:rsidRPr="004D4007">
        <w:t xml:space="preserve">Верхний покровный слой подгузников должен быть из нетканого материала с показателями качества, обеспечивающими изготовление подгузников в соответствии с </w:t>
      </w:r>
      <w:r w:rsidRPr="004D4007">
        <w:lastRenderedPageBreak/>
        <w:t xml:space="preserve">требованиями вышеуказанного стандарта и должен пропускать жидкость внутрь подгузника (п.5.7 ГОСТ </w:t>
      </w:r>
      <w:proofErr w:type="gramStart"/>
      <w:r w:rsidRPr="004D4007">
        <w:t>Р</w:t>
      </w:r>
      <w:proofErr w:type="gramEnd"/>
      <w:r w:rsidRPr="004D4007">
        <w:t xml:space="preserve"> 55082-2012).</w:t>
      </w:r>
    </w:p>
    <w:p w:rsidR="00715747" w:rsidRPr="004D4007" w:rsidRDefault="00715747" w:rsidP="00715747">
      <w:pPr>
        <w:ind w:firstLine="567"/>
        <w:jc w:val="both"/>
      </w:pPr>
      <w:r w:rsidRPr="004D4007">
        <w:t xml:space="preserve">Абсорбирующий слой должен быть из волокнистых полуфабрикатов и </w:t>
      </w:r>
      <w:proofErr w:type="spellStart"/>
      <w:r w:rsidRPr="004D4007">
        <w:t>суперабсорбента</w:t>
      </w:r>
      <w:proofErr w:type="spellEnd"/>
      <w:r w:rsidRPr="004D4007">
        <w:t xml:space="preserve">, должен поглощать и удерживать впитываемую жидкость внутри подгузника (п.5.7 ГОСТ </w:t>
      </w:r>
      <w:proofErr w:type="gramStart"/>
      <w:r w:rsidRPr="004D4007">
        <w:t>Р</w:t>
      </w:r>
      <w:proofErr w:type="gramEnd"/>
      <w:r w:rsidRPr="004D4007">
        <w:t xml:space="preserve"> 55082-2012).</w:t>
      </w:r>
    </w:p>
    <w:p w:rsidR="00715747" w:rsidRPr="004D4007" w:rsidRDefault="00715747" w:rsidP="00715747">
      <w:pPr>
        <w:ind w:firstLine="567"/>
        <w:jc w:val="both"/>
      </w:pPr>
      <w:r w:rsidRPr="004D4007">
        <w:t>Подгузники должны быть оснащены водонепроницаемыми защитными барьерными элементами: боковыми оборками в виде дуги через пах со стягивающими их резинками, должны предотвращать проникновение жидкости на кожу инвалида. Защитный слой должен предотвращать проникновение жидкости наружу.</w:t>
      </w:r>
    </w:p>
    <w:p w:rsidR="00715747" w:rsidRPr="004D4007" w:rsidRDefault="00715747" w:rsidP="00715747">
      <w:pPr>
        <w:ind w:firstLine="567"/>
        <w:jc w:val="both"/>
      </w:pPr>
      <w:r w:rsidRPr="004D4007">
        <w:t xml:space="preserve">Верхняя часть подгузника должна плотно прилегать к телу и препятствовать вытеканию. Должно </w:t>
      </w:r>
      <w:proofErr w:type="gramStart"/>
      <w:r w:rsidRPr="004D4007">
        <w:t>быть</w:t>
      </w:r>
      <w:proofErr w:type="gramEnd"/>
      <w:r w:rsidRPr="004D4007">
        <w:t xml:space="preserve"> наличие фиксирующих элементов на передней и задней частях подгузника для фиксации его в нужном положении и закрепления на талии человека (застежки - «липучки» и эластичный пояс).</w:t>
      </w:r>
    </w:p>
    <w:p w:rsidR="00715747" w:rsidRPr="004D4007" w:rsidRDefault="00715747" w:rsidP="00715747">
      <w:pPr>
        <w:ind w:firstLine="567"/>
        <w:jc w:val="both"/>
      </w:pPr>
      <w:r w:rsidRPr="004D4007">
        <w:t xml:space="preserve">При использовании подгузников должна быть обеспечена их целостность. </w:t>
      </w:r>
    </w:p>
    <w:p w:rsidR="00715747" w:rsidRPr="004D4007" w:rsidRDefault="00715747" w:rsidP="00715747">
      <w:pPr>
        <w:ind w:firstLine="567"/>
        <w:jc w:val="both"/>
      </w:pPr>
      <w:r w:rsidRPr="004D4007">
        <w:t xml:space="preserve">В соответствии с требованиями раздела 5.5 «Требования к внешнему виду» ГОСТ </w:t>
      </w:r>
      <w:proofErr w:type="gramStart"/>
      <w:r w:rsidRPr="004D4007">
        <w:t>Р</w:t>
      </w:r>
      <w:proofErr w:type="gramEnd"/>
      <w:r w:rsidRPr="004D4007">
        <w:t xml:space="preserve"> 55082-2012:</w:t>
      </w:r>
    </w:p>
    <w:p w:rsidR="00715747" w:rsidRPr="004D4007" w:rsidRDefault="00715747" w:rsidP="00715747">
      <w:pPr>
        <w:ind w:firstLine="567"/>
        <w:jc w:val="both"/>
      </w:pPr>
      <w:r w:rsidRPr="004D4007">
        <w:t>- в подгузниках должны отсутствовать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715747" w:rsidRPr="004D4007" w:rsidRDefault="00715747" w:rsidP="00715747">
      <w:pPr>
        <w:ind w:firstLine="567"/>
        <w:jc w:val="both"/>
      </w:pPr>
      <w:r w:rsidRPr="004D4007">
        <w:t xml:space="preserve">- печатное изображение на подгузниках должно быть четкое без искажений и пробелов. Должны отсутствовать следы </w:t>
      </w:r>
      <w:proofErr w:type="spellStart"/>
      <w:r w:rsidRPr="004D4007">
        <w:t>выщипывания</w:t>
      </w:r>
      <w:proofErr w:type="spellEnd"/>
      <w:r w:rsidRPr="004D4007">
        <w:t xml:space="preserve"> волокон с поверхности подгузника и </w:t>
      </w:r>
      <w:proofErr w:type="spellStart"/>
      <w:r w:rsidRPr="004D4007">
        <w:t>отмарывания</w:t>
      </w:r>
      <w:proofErr w:type="spellEnd"/>
      <w:r w:rsidRPr="004D4007">
        <w:t xml:space="preserve"> краски. </w:t>
      </w:r>
    </w:p>
    <w:p w:rsidR="00715747" w:rsidRPr="004D4007" w:rsidRDefault="00715747" w:rsidP="00715747">
      <w:pPr>
        <w:ind w:firstLine="567"/>
        <w:jc w:val="both"/>
      </w:pPr>
      <w:r w:rsidRPr="004D4007">
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715747" w:rsidRPr="004D4007" w:rsidRDefault="00715747" w:rsidP="00715747">
      <w:pPr>
        <w:ind w:firstLine="567"/>
        <w:jc w:val="both"/>
      </w:pPr>
      <w:r w:rsidRPr="004D4007">
        <w:t>Подгузники должны быть упакованы в пакеты из полимерной пленки, или пачки, или коробки, или тару, обеспечивающую сохранность при транспортировании и хранении. Швы в пакетах из полимерной пленки должны быть заварены.</w:t>
      </w:r>
    </w:p>
    <w:p w:rsidR="00715747" w:rsidRPr="004D4007" w:rsidRDefault="00715747" w:rsidP="00715747">
      <w:pPr>
        <w:ind w:firstLine="567"/>
        <w:jc w:val="both"/>
      </w:pPr>
      <w:r w:rsidRPr="004D4007">
        <w:t xml:space="preserve">В соответствии с пунктом 5.11.1 ГОСТа </w:t>
      </w:r>
      <w:proofErr w:type="gramStart"/>
      <w:r w:rsidRPr="004D4007">
        <w:t>Р</w:t>
      </w:r>
      <w:proofErr w:type="gramEnd"/>
      <w:r w:rsidRPr="004D4007">
        <w:t xml:space="preserve"> 55082-2012 маркировка должна быть достоверной, проверяемой и читаемой. Маркировка должна быть нанесена на упаковку, на этикетку (ярлык), прикрепленную к упаковке. Маркировку должны наносить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4D4007">
        <w:t>отмарывание</w:t>
      </w:r>
      <w:proofErr w:type="spellEnd"/>
      <w:r w:rsidRPr="004D4007">
        <w:t xml:space="preserve"> краски должно отсутствовать.</w:t>
      </w:r>
    </w:p>
    <w:p w:rsidR="00715747" w:rsidRPr="004D4007" w:rsidRDefault="00715747" w:rsidP="00715747">
      <w:pPr>
        <w:ind w:firstLine="567"/>
        <w:jc w:val="both"/>
      </w:pPr>
      <w:r w:rsidRPr="004D4007">
        <w:t xml:space="preserve">В соответствии с пунктом 5.11.2 ГОСТа </w:t>
      </w:r>
      <w:proofErr w:type="gramStart"/>
      <w:r w:rsidRPr="004D4007">
        <w:t>Р</w:t>
      </w:r>
      <w:proofErr w:type="gramEnd"/>
      <w:r w:rsidRPr="004D4007">
        <w:t xml:space="preserve"> 55082-2012 маркировка на потребительской упаковке подгузников должна содержать:</w:t>
      </w:r>
    </w:p>
    <w:p w:rsidR="00715747" w:rsidRPr="004D4007" w:rsidRDefault="00715747" w:rsidP="00715747">
      <w:pPr>
        <w:ind w:firstLine="567"/>
        <w:jc w:val="both"/>
      </w:pPr>
      <w:r w:rsidRPr="004D4007">
        <w:t>- наименование страны-изготовителя;</w:t>
      </w:r>
    </w:p>
    <w:p w:rsidR="00715747" w:rsidRPr="004D4007" w:rsidRDefault="00715747" w:rsidP="00715747">
      <w:pPr>
        <w:ind w:firstLine="567"/>
        <w:jc w:val="both"/>
      </w:pPr>
      <w:r>
        <w:t xml:space="preserve">- </w:t>
      </w:r>
      <w:bookmarkStart w:id="0" w:name="_GoBack"/>
      <w:bookmarkEnd w:id="0"/>
      <w:r w:rsidRPr="004D4007">
        <w:t>наименование и местонахождение изготовителя (продавца, поставщика), товарный знак;</w:t>
      </w:r>
    </w:p>
    <w:p w:rsidR="00715747" w:rsidRPr="004D4007" w:rsidRDefault="00715747" w:rsidP="00715747">
      <w:pPr>
        <w:ind w:firstLine="567"/>
        <w:jc w:val="both"/>
      </w:pPr>
      <w:r w:rsidRPr="004D4007"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715747" w:rsidRPr="004D4007" w:rsidRDefault="00715747" w:rsidP="00715747">
      <w:pPr>
        <w:ind w:firstLine="567"/>
        <w:jc w:val="both"/>
      </w:pPr>
      <w:r w:rsidRPr="004D4007">
        <w:t>- правила по применению подгузника (в виде рисунков или текста);</w:t>
      </w:r>
    </w:p>
    <w:p w:rsidR="00715747" w:rsidRPr="004D4007" w:rsidRDefault="00715747" w:rsidP="00715747">
      <w:pPr>
        <w:ind w:firstLine="567"/>
        <w:jc w:val="both"/>
      </w:pPr>
      <w:r w:rsidRPr="004D4007"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715747" w:rsidRPr="004D4007" w:rsidRDefault="00715747" w:rsidP="00715747">
      <w:pPr>
        <w:ind w:firstLine="567"/>
        <w:jc w:val="both"/>
      </w:pPr>
      <w:r w:rsidRPr="004D4007">
        <w:t>- информацию о наличии специальных ингредиентов;</w:t>
      </w:r>
    </w:p>
    <w:p w:rsidR="00715747" w:rsidRPr="004D4007" w:rsidRDefault="00715747" w:rsidP="00715747">
      <w:pPr>
        <w:ind w:firstLine="567"/>
        <w:jc w:val="both"/>
      </w:pPr>
      <w:r w:rsidRPr="004D4007">
        <w:t xml:space="preserve">- отличительные характеристики подгузника в соответствии с </w:t>
      </w:r>
      <w:proofErr w:type="gramStart"/>
      <w:r w:rsidRPr="004D4007">
        <w:t>техническим исполнением</w:t>
      </w:r>
      <w:proofErr w:type="gramEnd"/>
      <w:r w:rsidRPr="004D4007">
        <w:t xml:space="preserve"> (в виде рисунков и/или текста);</w:t>
      </w:r>
    </w:p>
    <w:p w:rsidR="00715747" w:rsidRPr="004D4007" w:rsidRDefault="00715747" w:rsidP="00715747">
      <w:pPr>
        <w:ind w:firstLine="567"/>
        <w:jc w:val="both"/>
      </w:pPr>
      <w:r w:rsidRPr="004D4007">
        <w:t>- номер артикула (при наличии);</w:t>
      </w:r>
    </w:p>
    <w:p w:rsidR="00715747" w:rsidRPr="004D4007" w:rsidRDefault="00715747" w:rsidP="00715747">
      <w:pPr>
        <w:ind w:firstLine="567"/>
        <w:jc w:val="both"/>
      </w:pPr>
      <w:r w:rsidRPr="004D4007">
        <w:t>- количество подгузников в упаковке;</w:t>
      </w:r>
    </w:p>
    <w:p w:rsidR="00715747" w:rsidRPr="004D4007" w:rsidRDefault="00715747" w:rsidP="00715747">
      <w:pPr>
        <w:ind w:firstLine="567"/>
        <w:jc w:val="both"/>
      </w:pPr>
      <w:r w:rsidRPr="004D4007">
        <w:t>- дату (месяц, год) изготовления;</w:t>
      </w:r>
    </w:p>
    <w:p w:rsidR="00715747" w:rsidRPr="004D4007" w:rsidRDefault="00715747" w:rsidP="00715747">
      <w:pPr>
        <w:ind w:firstLine="567"/>
        <w:jc w:val="both"/>
      </w:pPr>
      <w:r w:rsidRPr="004D4007">
        <w:lastRenderedPageBreak/>
        <w:t>- срок годности, устанавливаемый изготовителем;</w:t>
      </w:r>
    </w:p>
    <w:p w:rsidR="00715747" w:rsidRPr="004D4007" w:rsidRDefault="00715747" w:rsidP="00715747">
      <w:pPr>
        <w:ind w:firstLine="567"/>
        <w:jc w:val="both"/>
      </w:pPr>
      <w:r w:rsidRPr="004D4007">
        <w:t>-  обозначение настоящего стандарта;</w:t>
      </w:r>
    </w:p>
    <w:p w:rsidR="00715747" w:rsidRPr="004D4007" w:rsidRDefault="00715747" w:rsidP="00715747">
      <w:pPr>
        <w:ind w:firstLine="567"/>
        <w:jc w:val="both"/>
      </w:pPr>
      <w:r w:rsidRPr="004D4007">
        <w:t>- штриховой код (при наличии).</w:t>
      </w:r>
    </w:p>
    <w:p w:rsidR="00715747" w:rsidRPr="004D4007" w:rsidRDefault="00715747" w:rsidP="00715747">
      <w:pPr>
        <w:ind w:firstLine="567"/>
        <w:jc w:val="both"/>
      </w:pPr>
      <w:r w:rsidRPr="004D4007">
        <w:t>Срок годности Товара, в течение которого изделие сохраняет свои технические, качественные и функциональные характеристики должен быть не ранее 31.03.2023 года.</w:t>
      </w:r>
    </w:p>
    <w:p w:rsidR="00715747" w:rsidRPr="004D4007" w:rsidRDefault="00715747" w:rsidP="00715747">
      <w:pPr>
        <w:ind w:firstLine="567"/>
        <w:jc w:val="both"/>
      </w:pPr>
      <w:proofErr w:type="gramStart"/>
      <w:r w:rsidRPr="004D4007">
        <w:t>Для проверки качества поставляемого Заказчику Товара Заказчик при проведении выборочной проверки вправе изъять необходимое количество Товара у Поставщика для проверки своими силами или с участием привлеченных экспертов, экспертных организаций на основании контрактов, заключенных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715747" w:rsidRPr="004D4007" w:rsidRDefault="00715747" w:rsidP="00715747">
      <w:pPr>
        <w:ind w:firstLine="567"/>
        <w:jc w:val="both"/>
      </w:pPr>
      <w:r w:rsidRPr="004D4007">
        <w:rPr>
          <w:b/>
        </w:rPr>
        <w:t>Единица измерения:</w:t>
      </w:r>
      <w:r w:rsidRPr="004D4007">
        <w:t xml:space="preserve"> штуки.</w:t>
      </w:r>
    </w:p>
    <w:p w:rsidR="00715747" w:rsidRPr="004D4007" w:rsidRDefault="00715747" w:rsidP="00715747">
      <w:pPr>
        <w:ind w:firstLine="567"/>
        <w:jc w:val="both"/>
      </w:pPr>
      <w:r w:rsidRPr="004D4007">
        <w:rPr>
          <w:b/>
        </w:rPr>
        <w:t xml:space="preserve">Количество товара: </w:t>
      </w:r>
      <w:r w:rsidRPr="002B2675">
        <w:t>56</w:t>
      </w:r>
      <w:r>
        <w:rPr>
          <w:lang w:val="en-US"/>
        </w:rPr>
        <w:t> </w:t>
      </w:r>
      <w:r w:rsidRPr="002B2675">
        <w:t xml:space="preserve">580 </w:t>
      </w:r>
      <w:r w:rsidRPr="004D4007">
        <w:t>штук.</w:t>
      </w:r>
    </w:p>
    <w:p w:rsidR="002664BE" w:rsidRPr="00715747" w:rsidRDefault="002664BE" w:rsidP="00715747">
      <w:pPr>
        <w:shd w:val="clear" w:color="auto" w:fill="FFFFFF"/>
        <w:ind w:firstLine="567"/>
        <w:jc w:val="both"/>
        <w:rPr>
          <w:noProof/>
          <w:u w:val="single"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shd w:val="clear" w:color="auto" w:fill="FFFFFF"/>
        <w:ind w:firstLine="851"/>
        <w:jc w:val="both"/>
        <w:rPr>
          <w:noProof/>
        </w:rPr>
      </w:pPr>
    </w:p>
    <w:p w:rsidR="002664BE" w:rsidRPr="00715747" w:rsidRDefault="002664BE" w:rsidP="00715747">
      <w:pPr>
        <w:ind w:firstLine="851"/>
        <w:jc w:val="both"/>
        <w:rPr>
          <w:rFonts w:eastAsia="Arial Unicode MS"/>
        </w:rPr>
      </w:pPr>
    </w:p>
    <w:p w:rsidR="00953144" w:rsidRPr="00715747" w:rsidRDefault="00953144" w:rsidP="00715747">
      <w:pPr>
        <w:ind w:firstLine="851"/>
        <w:jc w:val="both"/>
        <w:rPr>
          <w:rFonts w:eastAsia="Arial Unicode MS"/>
        </w:rPr>
      </w:pPr>
    </w:p>
    <w:sectPr w:rsidR="00953144" w:rsidRPr="00715747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BE" w:rsidRDefault="002664BE" w:rsidP="002664BE">
      <w:r>
        <w:separator/>
      </w:r>
    </w:p>
  </w:endnote>
  <w:endnote w:type="continuationSeparator" w:id="0">
    <w:p w:rsidR="002664BE" w:rsidRDefault="002664BE" w:rsidP="0026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BE" w:rsidRDefault="002664BE" w:rsidP="002664BE">
      <w:r>
        <w:separator/>
      </w:r>
    </w:p>
  </w:footnote>
  <w:footnote w:type="continuationSeparator" w:id="0">
    <w:p w:rsidR="002664BE" w:rsidRDefault="002664BE" w:rsidP="00266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1066B1"/>
    <w:rsid w:val="00112062"/>
    <w:rsid w:val="0017437D"/>
    <w:rsid w:val="00182BB9"/>
    <w:rsid w:val="001A70B1"/>
    <w:rsid w:val="0024535C"/>
    <w:rsid w:val="002664BE"/>
    <w:rsid w:val="002E5B1F"/>
    <w:rsid w:val="003501B3"/>
    <w:rsid w:val="00350FFC"/>
    <w:rsid w:val="003851EC"/>
    <w:rsid w:val="004167F2"/>
    <w:rsid w:val="004329AF"/>
    <w:rsid w:val="00436B8A"/>
    <w:rsid w:val="00462BAB"/>
    <w:rsid w:val="0048041E"/>
    <w:rsid w:val="00493266"/>
    <w:rsid w:val="004B2100"/>
    <w:rsid w:val="00581744"/>
    <w:rsid w:val="005A1F26"/>
    <w:rsid w:val="005A58ED"/>
    <w:rsid w:val="005B5A8B"/>
    <w:rsid w:val="00635236"/>
    <w:rsid w:val="00663BDA"/>
    <w:rsid w:val="00715747"/>
    <w:rsid w:val="00775CA6"/>
    <w:rsid w:val="007B502A"/>
    <w:rsid w:val="007B665B"/>
    <w:rsid w:val="007D4314"/>
    <w:rsid w:val="00815F84"/>
    <w:rsid w:val="008161E9"/>
    <w:rsid w:val="008D42E1"/>
    <w:rsid w:val="008D481E"/>
    <w:rsid w:val="008F245B"/>
    <w:rsid w:val="00953144"/>
    <w:rsid w:val="00A0349B"/>
    <w:rsid w:val="00A169DE"/>
    <w:rsid w:val="00A403B8"/>
    <w:rsid w:val="00AB5A95"/>
    <w:rsid w:val="00AB5AFF"/>
    <w:rsid w:val="00AE09E8"/>
    <w:rsid w:val="00B3342E"/>
    <w:rsid w:val="00B95955"/>
    <w:rsid w:val="00BC0123"/>
    <w:rsid w:val="00C37AFC"/>
    <w:rsid w:val="00D7118F"/>
    <w:rsid w:val="00D8276E"/>
    <w:rsid w:val="00E82789"/>
    <w:rsid w:val="00F50887"/>
    <w:rsid w:val="00FA627F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rsid w:val="00663BDA"/>
  </w:style>
  <w:style w:type="paragraph" w:styleId="a4">
    <w:name w:val="header"/>
    <w:basedOn w:val="a"/>
    <w:link w:val="a5"/>
    <w:uiPriority w:val="99"/>
    <w:unhideWhenUsed/>
    <w:rsid w:val="002664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64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664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64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rsid w:val="00663BDA"/>
  </w:style>
  <w:style w:type="paragraph" w:styleId="a4">
    <w:name w:val="header"/>
    <w:basedOn w:val="a"/>
    <w:link w:val="a5"/>
    <w:uiPriority w:val="99"/>
    <w:unhideWhenUsed/>
    <w:rsid w:val="002664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64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664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64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E713-1293-4E34-A22E-14720AF7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Кошелева Анастасия Петровна</cp:lastModifiedBy>
  <cp:revision>37</cp:revision>
  <cp:lastPrinted>2022-05-17T08:34:00Z</cp:lastPrinted>
  <dcterms:created xsi:type="dcterms:W3CDTF">2018-03-22T09:38:00Z</dcterms:created>
  <dcterms:modified xsi:type="dcterms:W3CDTF">2022-06-09T09:46:00Z</dcterms:modified>
</cp:coreProperties>
</file>