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2D46A6" w:rsidRDefault="00777B78" w:rsidP="004F772D">
      <w:pPr>
        <w:pStyle w:val="a8"/>
        <w:keepNext/>
        <w:keepLines/>
        <w:tabs>
          <w:tab w:val="left" w:pos="0"/>
        </w:tabs>
        <w:rPr>
          <w:iCs/>
          <w:szCs w:val="28"/>
        </w:rPr>
      </w:pPr>
      <w:bookmarkStart w:id="0" w:name="_GoBack"/>
      <w:r w:rsidRPr="002D46A6">
        <w:rPr>
          <w:iCs/>
          <w:szCs w:val="28"/>
        </w:rPr>
        <w:t xml:space="preserve">Техническое задание к </w:t>
      </w:r>
      <w:r w:rsidR="007001EA" w:rsidRPr="002D46A6">
        <w:rPr>
          <w:iCs/>
          <w:szCs w:val="28"/>
        </w:rPr>
        <w:t xml:space="preserve">проведению </w:t>
      </w:r>
      <w:r w:rsidR="00FE70D7" w:rsidRPr="002D46A6">
        <w:rPr>
          <w:iCs/>
          <w:szCs w:val="28"/>
        </w:rPr>
        <w:t xml:space="preserve">запроса котировок в электронной форме </w:t>
      </w:r>
      <w:r w:rsidR="002D46A6" w:rsidRPr="002D46A6">
        <w:rPr>
          <w:iCs/>
          <w:szCs w:val="28"/>
        </w:rPr>
        <w:t xml:space="preserve">на поставку инвалидам </w:t>
      </w:r>
      <w:proofErr w:type="spellStart"/>
      <w:r w:rsidR="002D46A6" w:rsidRPr="002D46A6">
        <w:rPr>
          <w:iCs/>
          <w:szCs w:val="28"/>
        </w:rPr>
        <w:t>уроприемников</w:t>
      </w:r>
      <w:proofErr w:type="spellEnd"/>
      <w:r w:rsidR="002D46A6" w:rsidRPr="002D46A6">
        <w:rPr>
          <w:iCs/>
          <w:szCs w:val="28"/>
        </w:rPr>
        <w:t xml:space="preserve"> в 2023 году (для субъектов малого предпринимательства)</w:t>
      </w:r>
    </w:p>
    <w:bookmarkEnd w:id="0"/>
    <w:p w:rsidR="005200EB" w:rsidRPr="005200EB" w:rsidRDefault="005200EB" w:rsidP="004F772D">
      <w:pPr>
        <w:keepNext/>
        <w:keepLines/>
        <w:autoSpaceDE w:val="0"/>
        <w:jc w:val="both"/>
      </w:pPr>
    </w:p>
    <w:p w:rsidR="00586A3A" w:rsidRPr="005200EB" w:rsidRDefault="00586A3A" w:rsidP="004F772D">
      <w:pPr>
        <w:keepNext/>
        <w:keepLines/>
        <w:autoSpaceDE w:val="0"/>
        <w:jc w:val="both"/>
        <w:rPr>
          <w:b/>
          <w:iCs/>
        </w:rPr>
      </w:pPr>
      <w:r w:rsidRPr="005200EB">
        <w:rPr>
          <w:b/>
          <w:iCs/>
        </w:rPr>
        <w:t>Описание объекта закупки.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  <w:proofErr w:type="gramStart"/>
      <w:r w:rsidRPr="0079158B">
        <w:t>Включают</w:t>
      </w:r>
      <w:proofErr w:type="gramEnd"/>
      <w:r w:rsidRPr="0079158B">
        <w:t xml:space="preserve"> в том числе </w:t>
      </w:r>
      <w:proofErr w:type="spellStart"/>
      <w:r w:rsidRPr="0079158B">
        <w:t>уроприемники</w:t>
      </w:r>
      <w:proofErr w:type="spellEnd"/>
      <w:r w:rsidRPr="0079158B">
        <w:t xml:space="preserve"> на адгезивной основе, носимые на передней брюшной стенке.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Конструкция специальных сре</w:t>
      </w:r>
      <w:proofErr w:type="gramStart"/>
      <w:r w:rsidRPr="0079158B">
        <w:t>дств пр</w:t>
      </w:r>
      <w:proofErr w:type="gramEnd"/>
      <w:r w:rsidRPr="0079158B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Мочеприемники должны состоять из адгезивной пластины для крепления изделия к коже и мешка для сбора отделяемого из </w:t>
      </w:r>
      <w:proofErr w:type="spellStart"/>
      <w:r w:rsidRPr="0079158B">
        <w:t>стомы</w:t>
      </w:r>
      <w:proofErr w:type="spellEnd"/>
      <w:r w:rsidRPr="0079158B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Пластины могут иметь различную форму: круглые, овальные, квадратные, других форм, </w:t>
      </w:r>
      <w:proofErr w:type="spellStart"/>
      <w:r w:rsidRPr="0079158B">
        <w:t>конвексные</w:t>
      </w:r>
      <w:proofErr w:type="spellEnd"/>
      <w:r w:rsidRPr="0079158B">
        <w:t xml:space="preserve"> (для втянутых </w:t>
      </w:r>
      <w:proofErr w:type="spellStart"/>
      <w:r w:rsidRPr="0079158B">
        <w:t>стом</w:t>
      </w:r>
      <w:proofErr w:type="spellEnd"/>
      <w:r w:rsidRPr="0079158B">
        <w:t xml:space="preserve">) и т.д.,  клеевой слой из полимерных материалов: </w:t>
      </w:r>
      <w:proofErr w:type="spellStart"/>
      <w:r w:rsidRPr="0079158B">
        <w:t>гидроколлоидов</w:t>
      </w:r>
      <w:proofErr w:type="spellEnd"/>
      <w:r w:rsidRPr="0079158B">
        <w:t xml:space="preserve">, которые предохраняют кожу, обладают противовоспалительными и </w:t>
      </w:r>
      <w:proofErr w:type="spellStart"/>
      <w:r w:rsidRPr="0079158B">
        <w:t>эпителизирующими</w:t>
      </w:r>
      <w:proofErr w:type="spellEnd"/>
      <w:r w:rsidRPr="0079158B">
        <w:t xml:space="preserve"> и выраженными адгезивными свойствами </w:t>
      </w:r>
      <w:proofErr w:type="spellStart"/>
      <w:r w:rsidRPr="0079158B">
        <w:t>монослойной</w:t>
      </w:r>
      <w:proofErr w:type="spellEnd"/>
      <w:r w:rsidRPr="0079158B">
        <w:t xml:space="preserve"> или спиралевидной структуры, при необходимости фланцевое соединение </w:t>
      </w:r>
      <w:proofErr w:type="spellStart"/>
      <w:r w:rsidRPr="0079158B">
        <w:t>комплиментарное</w:t>
      </w:r>
      <w:proofErr w:type="spellEnd"/>
      <w:r w:rsidRPr="0079158B">
        <w:t xml:space="preserve"> соответствующему фланцу мешка. Отверстие для </w:t>
      </w:r>
      <w:proofErr w:type="spellStart"/>
      <w:r w:rsidRPr="0079158B">
        <w:t>стомы</w:t>
      </w:r>
      <w:proofErr w:type="spellEnd"/>
      <w:r w:rsidRPr="0079158B">
        <w:t xml:space="preserve"> на пластине может быть как вырезаемое (в зависимости от размеров имеющейся </w:t>
      </w:r>
      <w:proofErr w:type="spellStart"/>
      <w:r w:rsidRPr="0079158B">
        <w:t>стомы</w:t>
      </w:r>
      <w:proofErr w:type="spellEnd"/>
      <w:r w:rsidRPr="0079158B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Адгезивные пластины должны быть гибкими, устойчивыми к эрозии, благоприятно воздействовать на кожу, абсорбировать естественную влагу кожи (выделения потовых и сальных желез и т.п.), обладать оптимальными клеящими свойствами, позволяющими быстро и герметично фиксироваться на коже вокруг </w:t>
      </w:r>
      <w:proofErr w:type="spellStart"/>
      <w:r w:rsidRPr="0079158B">
        <w:t>стомы</w:t>
      </w:r>
      <w:proofErr w:type="spellEnd"/>
      <w:r w:rsidRPr="0079158B">
        <w:t xml:space="preserve"> во время использования и </w:t>
      </w:r>
      <w:proofErr w:type="spellStart"/>
      <w:r w:rsidRPr="0079158B">
        <w:t>атравматично</w:t>
      </w:r>
      <w:proofErr w:type="spellEnd"/>
      <w:r w:rsidRPr="0079158B">
        <w:t xml:space="preserve"> удаляться.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Мешки могут изготавливаться из </w:t>
      </w:r>
      <w:proofErr w:type="spellStart"/>
      <w:r w:rsidRPr="0079158B">
        <w:t>биостабильного</w:t>
      </w:r>
      <w:proofErr w:type="spellEnd"/>
      <w:r w:rsidRPr="0079158B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79158B">
        <w:t>уростомных</w:t>
      </w:r>
      <w:proofErr w:type="spellEnd"/>
      <w:r w:rsidRPr="0079158B">
        <w:t xml:space="preserve"> мешках дополнительно возможно применение </w:t>
      </w:r>
      <w:proofErr w:type="spellStart"/>
      <w:r w:rsidRPr="0079158B">
        <w:t>антирефлюксного</w:t>
      </w:r>
      <w:proofErr w:type="spellEnd"/>
      <w:r w:rsidRPr="0079158B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79158B">
        <w:t>Р</w:t>
      </w:r>
      <w:proofErr w:type="gramEnd"/>
      <w:r w:rsidRPr="0079158B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79158B">
        <w:t>Р</w:t>
      </w:r>
      <w:proofErr w:type="gramEnd"/>
      <w:r w:rsidRPr="0079158B">
        <w:t xml:space="preserve"> 58237-2018 «Средства ухода за кишечными </w:t>
      </w:r>
      <w:proofErr w:type="spellStart"/>
      <w:r w:rsidRPr="0079158B">
        <w:t>стомами</w:t>
      </w:r>
      <w:proofErr w:type="spellEnd"/>
      <w:r w:rsidRPr="0079158B">
        <w:t xml:space="preserve">: калоприемники, вспомогательные средства и средства ухода за кожей вокруг </w:t>
      </w:r>
      <w:proofErr w:type="spellStart"/>
      <w:r w:rsidRPr="0079158B">
        <w:t>стомы</w:t>
      </w:r>
      <w:proofErr w:type="spellEnd"/>
      <w:r w:rsidRPr="0079158B">
        <w:t>. Характеристики и основные требования. Методы испытаний».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79158B">
        <w:t>Р</w:t>
      </w:r>
      <w:proofErr w:type="gramEnd"/>
      <w:r w:rsidRPr="0079158B"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Сырье и материалы для изготовления специальных сре</w:t>
      </w:r>
      <w:proofErr w:type="gramStart"/>
      <w:r w:rsidRPr="0079158B">
        <w:t>дств пр</w:t>
      </w:r>
      <w:proofErr w:type="gramEnd"/>
      <w:r w:rsidRPr="0079158B"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lastRenderedPageBreak/>
        <w:t>Хранение должно осуществляться в соответствии с требованиями, предъявляемыми к данной категории товара.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Упаковка специальных сре</w:t>
      </w:r>
      <w:proofErr w:type="gramStart"/>
      <w:r w:rsidRPr="0079158B">
        <w:t>дств пр</w:t>
      </w:r>
      <w:proofErr w:type="gramEnd"/>
      <w:r w:rsidRPr="0079158B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Маркировка  упаковки специальных сре</w:t>
      </w:r>
      <w:proofErr w:type="gramStart"/>
      <w:r w:rsidRPr="0079158B">
        <w:t>дств пр</w:t>
      </w:r>
      <w:proofErr w:type="gramEnd"/>
      <w:r w:rsidRPr="0079158B">
        <w:t>и  нарушениях функций выделения должна включать: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условное обозначение группы изделий, товарную марку (при наличии), обозначение номера изделия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страну-изготовителя;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наименование предприятия-изготовителя, юридический адрес, товарный знак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- отличительные характеристики изделий в соответствии с их </w:t>
      </w:r>
      <w:proofErr w:type="gramStart"/>
      <w:r w:rsidRPr="0079158B">
        <w:t>техническим исполнением</w:t>
      </w:r>
      <w:proofErr w:type="gramEnd"/>
      <w:r w:rsidRPr="0079158B">
        <w:t xml:space="preserve">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номер артикула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количество изделий в упаковке;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дату (месяц, год) изготовления или гарантийный срок годности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правила использования (при необходимости);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штриховой код изделия (при наличии);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- информацию о сертификации (при наличии).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1157BF">
        <w:rPr>
          <w:b/>
        </w:rPr>
        <w:t>Гарантийный срок эксплуатации товара:</w:t>
      </w:r>
      <w:r w:rsidRPr="0079158B">
        <w:t xml:space="preserve"> </w:t>
      </w:r>
      <w:proofErr w:type="gramStart"/>
      <w:r w:rsidRPr="0079158B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79158B">
        <w:t xml:space="preserve"> в обычных условиях. На Товаре не должно быть механических повреждений.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4F772D" w:rsidRPr="0079158B" w:rsidRDefault="004F772D" w:rsidP="004F772D">
      <w:pPr>
        <w:keepNext/>
        <w:autoSpaceDE w:val="0"/>
        <w:snapToGrid w:val="0"/>
        <w:ind w:left="-17" w:firstLine="709"/>
        <w:jc w:val="both"/>
      </w:pPr>
      <w:r w:rsidRPr="0079158B"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79158B">
        <w:t>связи</w:t>
      </w:r>
      <w:proofErr w:type="gramEnd"/>
      <w:r w:rsidRPr="0079158B"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Pr="008B646B" w:rsidRDefault="008B646B" w:rsidP="004F772D">
      <w:pPr>
        <w:keepNext/>
        <w:autoSpaceDE w:val="0"/>
        <w:snapToGrid w:val="0"/>
        <w:ind w:left="-17" w:firstLine="709"/>
        <w:jc w:val="both"/>
      </w:pPr>
      <w:r w:rsidRPr="008B646B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8B646B">
        <w:t>с даты предоставления</w:t>
      </w:r>
      <w:proofErr w:type="gramEnd"/>
      <w:r w:rsidRPr="008B646B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8B646B">
        <w:t>C</w:t>
      </w:r>
      <w:proofErr w:type="gramEnd"/>
      <w:r w:rsidRPr="008B646B">
        <w:t xml:space="preserve">Р. </w:t>
      </w:r>
    </w:p>
    <w:p w:rsidR="00C65D8B" w:rsidRDefault="00C65D8B" w:rsidP="004F772D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39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909"/>
        <w:gridCol w:w="850"/>
        <w:gridCol w:w="1134"/>
        <w:gridCol w:w="1701"/>
        <w:gridCol w:w="3261"/>
        <w:gridCol w:w="850"/>
        <w:gridCol w:w="1134"/>
      </w:tblGrid>
      <w:tr w:rsidR="00B423D8" w:rsidRPr="002F3489" w:rsidTr="00B423D8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№</w:t>
            </w: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proofErr w:type="gramStart"/>
            <w:r w:rsidRPr="002F3489">
              <w:rPr>
                <w:bCs/>
                <w:sz w:val="16"/>
                <w:szCs w:val="16"/>
              </w:rPr>
              <w:t>п</w:t>
            </w:r>
            <w:proofErr w:type="gramEnd"/>
            <w:r w:rsidRPr="002F348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Наименование по КТРУ/Ко</w:t>
            </w:r>
            <w:r w:rsidRPr="002F3489">
              <w:rPr>
                <w:bCs/>
                <w:sz w:val="16"/>
                <w:szCs w:val="16"/>
              </w:rPr>
              <w:lastRenderedPageBreak/>
              <w:t>д позиции каталога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 xml:space="preserve">Описание в соответствии с </w:t>
            </w:r>
            <w:r w:rsidRPr="002F3489">
              <w:rPr>
                <w:bCs/>
                <w:sz w:val="16"/>
                <w:szCs w:val="16"/>
              </w:rPr>
              <w:lastRenderedPageBreak/>
              <w:t>КТРУ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ОКПД</w:t>
            </w:r>
            <w:proofErr w:type="gramStart"/>
            <w:r w:rsidRPr="002F3489">
              <w:rPr>
                <w:bCs/>
                <w:sz w:val="16"/>
                <w:szCs w:val="16"/>
              </w:rPr>
              <w:t>2</w:t>
            </w:r>
            <w:proofErr w:type="gramEnd"/>
            <w:r w:rsidRPr="002F3489">
              <w:rPr>
                <w:bCs/>
                <w:sz w:val="16"/>
                <w:szCs w:val="16"/>
              </w:rPr>
              <w:t xml:space="preserve"> / НКМИ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 xml:space="preserve">Номер вида и наименование технического средства </w:t>
            </w:r>
            <w:r w:rsidRPr="002F3489">
              <w:rPr>
                <w:bCs/>
                <w:sz w:val="16"/>
                <w:szCs w:val="16"/>
              </w:rPr>
              <w:lastRenderedPageBreak/>
              <w:t>реабилитации (изделий)</w:t>
            </w:r>
            <w:r w:rsidRPr="002F3489">
              <w:rPr>
                <w:bCs/>
                <w:sz w:val="16"/>
                <w:szCs w:val="16"/>
                <w:vertAlign w:val="superscript"/>
              </w:rPr>
              <w:t>1</w:t>
            </w:r>
            <w:r w:rsidRPr="002F3489">
              <w:rPr>
                <w:bCs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</w:t>
            </w:r>
            <w:r>
              <w:rPr>
                <w:bCs/>
                <w:sz w:val="16"/>
                <w:szCs w:val="16"/>
              </w:rPr>
              <w:t>05.03.2021</w:t>
            </w:r>
            <w:r w:rsidRPr="002F3489">
              <w:rPr>
                <w:bCs/>
                <w:sz w:val="16"/>
                <w:szCs w:val="16"/>
              </w:rPr>
              <w:t>г. №</w:t>
            </w:r>
            <w:r>
              <w:rPr>
                <w:bCs/>
                <w:sz w:val="16"/>
                <w:szCs w:val="16"/>
              </w:rPr>
              <w:t xml:space="preserve"> 107</w:t>
            </w:r>
            <w:r w:rsidRPr="002F3489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Цена за единицу, </w:t>
            </w:r>
            <w:proofErr w:type="spellStart"/>
            <w:r>
              <w:rPr>
                <w:bCs/>
                <w:sz w:val="16"/>
                <w:szCs w:val="16"/>
              </w:rPr>
              <w:t>руб</w:t>
            </w:r>
            <w:proofErr w:type="gramStart"/>
            <w:r>
              <w:rPr>
                <w:bCs/>
                <w:sz w:val="16"/>
                <w:szCs w:val="16"/>
              </w:rPr>
              <w:t>.к</w:t>
            </w:r>
            <w:proofErr w:type="gramEnd"/>
            <w:r>
              <w:rPr>
                <w:bCs/>
                <w:sz w:val="16"/>
                <w:szCs w:val="16"/>
              </w:rPr>
              <w:t>оп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B423D8" w:rsidRPr="002F3489" w:rsidTr="00B423D8">
        <w:tc>
          <w:tcPr>
            <w:tcW w:w="557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9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261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B423D8" w:rsidRPr="002F3489" w:rsidRDefault="00B423D8" w:rsidP="004F772D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423D8" w:rsidRPr="002F3489" w:rsidTr="00B423D8">
        <w:trPr>
          <w:trHeight w:val="1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21-01-12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для втянутых </w:t>
            </w:r>
            <w:proofErr w:type="spellStart"/>
            <w:r w:rsidRPr="004F772D">
              <w:rPr>
                <w:bCs/>
                <w:sz w:val="20"/>
                <w:szCs w:val="20"/>
              </w:rPr>
              <w:t>стом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Адгезивная пластина,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772D">
              <w:rPr>
                <w:bCs/>
                <w:sz w:val="20"/>
                <w:szCs w:val="20"/>
              </w:rPr>
              <w:t>конвексная</w:t>
            </w:r>
            <w:proofErr w:type="spellEnd"/>
            <w:r w:rsidRPr="004F772D">
              <w:rPr>
                <w:bCs/>
                <w:sz w:val="20"/>
                <w:szCs w:val="20"/>
              </w:rPr>
              <w:t>,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01.28.21.01.12.01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для втянутых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974C86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974C86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Cs w:val="22"/>
              </w:rPr>
            </w:pPr>
          </w:p>
        </w:tc>
      </w:tr>
      <w:tr w:rsidR="00B423D8" w:rsidRPr="002F3489" w:rsidTr="00B423D8">
        <w:trPr>
          <w:trHeight w:val="115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Адгезивная пластина,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772D">
              <w:rPr>
                <w:bCs/>
                <w:sz w:val="20"/>
                <w:szCs w:val="20"/>
              </w:rPr>
              <w:t>конвексная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для втянутых </w:t>
            </w:r>
            <w:proofErr w:type="spellStart"/>
            <w:r w:rsidRPr="004F772D">
              <w:rPr>
                <w:bCs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Адгезивная пластина </w:t>
            </w:r>
            <w:proofErr w:type="spellStart"/>
            <w:r w:rsidRPr="004F772D">
              <w:rPr>
                <w:bCs/>
                <w:sz w:val="18"/>
                <w:szCs w:val="16"/>
              </w:rPr>
              <w:t>конвексная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двухкомпонентного дренируемого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– адгезивная пластина вогнутой формы - для фиксации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на передней брюшной стенке, соединяющаяся со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 вырезаемым отверстием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 фланцем для крепления мешка, соответствующим фланцу мешка. Пластина должна быть на основе натуральных материалов с высокими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гипоалергенными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вверх. Клеевой слой, которым покрыта клеевая сторона пластины, должен разбухать под влиянием влажных испарений и максимально плотно охватывать отверстие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. Пластина рассчитана на длительное ношение (на протяжении не менее 5-ти дней). Пластина гибкая, устойчивая к эрозии,  должна легко адаптироваться к форме живота. Пластина и мешок должны соединяться между собой с помощью механического фланцевого соединения. Минимальное вырезаемое отверстие должно быть не более 15 мм, максимальное вырезаемое отверстие должно быть не менее 43 мм, фланец </w:t>
            </w:r>
            <w:r w:rsidRPr="004F772D">
              <w:rPr>
                <w:bCs/>
                <w:sz w:val="18"/>
                <w:szCs w:val="16"/>
              </w:rPr>
              <w:lastRenderedPageBreak/>
              <w:t>должен быть не более 60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213,17</w:t>
            </w:r>
          </w:p>
        </w:tc>
      </w:tr>
      <w:tr w:rsidR="00B423D8" w:rsidRPr="002F3489" w:rsidTr="00B423D8">
        <w:trPr>
          <w:trHeight w:val="1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для втянутых </w:t>
            </w:r>
            <w:proofErr w:type="spellStart"/>
            <w:r w:rsidRPr="004F772D">
              <w:rPr>
                <w:bCs/>
                <w:sz w:val="20"/>
                <w:szCs w:val="20"/>
              </w:rPr>
              <w:t>стом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 xml:space="preserve">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дренируемый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для втянутых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В наличии должен быть сливной клапан, форма которого обеспечивает простоту использования и надежность закрытия мешка. 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должен быть с фланцем для крепления мешка к пластине размером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Нестерильный.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105,97</w:t>
            </w:r>
          </w:p>
        </w:tc>
      </w:tr>
      <w:tr w:rsidR="00B423D8" w:rsidRPr="002F3489" w:rsidTr="00B423D8">
        <w:trPr>
          <w:trHeight w:val="18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21-01-11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 адгезивная пластина, плоская,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01.28.21.01.11.01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423D8" w:rsidRPr="002F3489" w:rsidTr="00B423D8">
        <w:trPr>
          <w:trHeight w:val="187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 xml:space="preserve">Адгезивная пластина плоская (облегченная)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адгезивная </w:t>
            </w:r>
            <w:proofErr w:type="spellStart"/>
            <w:r w:rsidRPr="004F772D">
              <w:rPr>
                <w:bCs/>
                <w:sz w:val="18"/>
                <w:szCs w:val="16"/>
              </w:rPr>
              <w:t>монослойная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пластина плоской формы для фиксации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на передней брюшной стенке, соединяющаяся со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гипоаллергенного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гидроколлоида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содержащего желатин, пектин, натрий, </w:t>
            </w:r>
            <w:proofErr w:type="spellStart"/>
            <w:r w:rsidRPr="004F772D">
              <w:rPr>
                <w:bCs/>
                <w:sz w:val="18"/>
                <w:szCs w:val="16"/>
              </w:rPr>
              <w:t>карбоксиметилцеллюлозу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</w:t>
            </w:r>
            <w:proofErr w:type="spellStart"/>
            <w:r w:rsidRPr="004F772D">
              <w:rPr>
                <w:bCs/>
                <w:sz w:val="18"/>
                <w:szCs w:val="16"/>
              </w:rPr>
              <w:t>полиизобутелен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  с шаблоном для вырезания отверстий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 вырезаемым отверстием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>, с фланцем для крепления мешка, соответствующим фланцу мешка.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клеем или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гидроколлоидом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Пластина должна быть гибкая, устойчивая к эрозии,  должна абсорбировать естественную влагу кожи, легко адаптироваться к форме </w:t>
            </w:r>
            <w:r w:rsidRPr="004F772D">
              <w:rPr>
                <w:bCs/>
                <w:sz w:val="18"/>
                <w:szCs w:val="16"/>
              </w:rPr>
              <w:lastRenderedPageBreak/>
              <w:t xml:space="preserve">живота. Вырезаемое отверстие должно легко моделироваться по контуру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131,02</w:t>
            </w:r>
          </w:p>
        </w:tc>
      </w:tr>
      <w:tr w:rsidR="00B423D8" w:rsidRPr="002F3489" w:rsidTr="00B423D8">
        <w:trPr>
          <w:trHeight w:val="18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Дренируемый двухкомпонентный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(мешок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) - 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многослойного прозрачного, не менее  пяти слоев, полиэтилена, не пропускающего запах, с односторонним или двусторонним покрытием (подложкой) из мягкого сетчатого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</w:t>
            </w:r>
            <w:proofErr w:type="gramStart"/>
            <w:r w:rsidRPr="004F772D">
              <w:rPr>
                <w:bCs/>
                <w:sz w:val="18"/>
                <w:szCs w:val="16"/>
              </w:rPr>
              <w:t>от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4F772D">
              <w:rPr>
                <w:bCs/>
                <w:sz w:val="18"/>
                <w:szCs w:val="16"/>
              </w:rPr>
              <w:t>ее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агрессивного воздействия. В наличии должен быть сливной клапан, форма которого обеспечивает  простоту использования и надежность закрытия мешка.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Объем мешка должен быть не менее 500 мл.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127,08</w:t>
            </w:r>
          </w:p>
        </w:tc>
      </w:tr>
      <w:tr w:rsidR="00B423D8" w:rsidRPr="002F3489" w:rsidTr="00B423D8">
        <w:trPr>
          <w:trHeight w:val="13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21-01-11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 адгезивная пластина, плоская,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01.28.21.01.11.01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423D8" w:rsidRPr="002F3489" w:rsidTr="00B423D8">
        <w:trPr>
          <w:trHeight w:val="13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 xml:space="preserve">Адгезивная пластина плоская (полная)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адгезивная </w:t>
            </w:r>
            <w:proofErr w:type="spellStart"/>
            <w:r w:rsidRPr="004F772D">
              <w:rPr>
                <w:bCs/>
                <w:sz w:val="18"/>
                <w:szCs w:val="16"/>
              </w:rPr>
              <w:t>монослойная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пластина плоской формы для фиксации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на передней брюшной стенке, соединяющаяся со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гипоаллергенного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гидроколлоида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содержащего желатин, пектин, натрий, </w:t>
            </w:r>
            <w:proofErr w:type="spellStart"/>
            <w:r w:rsidRPr="004F772D">
              <w:rPr>
                <w:bCs/>
                <w:sz w:val="18"/>
                <w:szCs w:val="16"/>
              </w:rPr>
              <w:t>карбоксиметилцеллюлозу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</w:t>
            </w:r>
            <w:proofErr w:type="spellStart"/>
            <w:r w:rsidRPr="004F772D">
              <w:rPr>
                <w:bCs/>
                <w:sz w:val="18"/>
                <w:szCs w:val="16"/>
              </w:rPr>
              <w:t>полиизобутелен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  с шаблоном для вырезания отверстий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 вырезаемым отверстием под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>, с фланцем для крепления мешка, соответствующим фланцу мешка.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клеем или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гидроколлоидом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Пластина должна быть гибкая, </w:t>
            </w:r>
            <w:r w:rsidRPr="004F772D">
              <w:rPr>
                <w:bCs/>
                <w:sz w:val="18"/>
                <w:szCs w:val="16"/>
              </w:rPr>
              <w:lastRenderedPageBreak/>
              <w:t xml:space="preserve">устойчивая к эрозии, 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195,50</w:t>
            </w:r>
          </w:p>
        </w:tc>
      </w:tr>
      <w:tr w:rsidR="00B423D8" w:rsidRPr="002F3489" w:rsidTr="00B423D8">
        <w:trPr>
          <w:trHeight w:val="13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Дренируемый двухкомпонентный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(мешок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) - 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многослойного прозрачного, не менее  пяти слоев, полиэтилена, не пропускающего запах, с односторонним или двусторонним покрытием (подложкой) из мягкого сетчатого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</w:t>
            </w:r>
            <w:proofErr w:type="gramStart"/>
            <w:r w:rsidRPr="004F772D">
              <w:rPr>
                <w:bCs/>
                <w:sz w:val="18"/>
                <w:szCs w:val="16"/>
              </w:rPr>
              <w:t>от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4F772D">
              <w:rPr>
                <w:bCs/>
                <w:sz w:val="18"/>
                <w:szCs w:val="16"/>
              </w:rPr>
              <w:t>ее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агрессивного воздействия. В наличии должен быть сливной клапан, форма которого обеспечивает  простоту использования и надежность закрытия мешка.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Объем мешка должен быть не менее 500 мл.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127,06</w:t>
            </w:r>
          </w:p>
        </w:tc>
      </w:tr>
      <w:tr w:rsidR="00B423D8" w:rsidRPr="002F3489" w:rsidTr="00B423D8">
        <w:trPr>
          <w:trHeight w:val="14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21-01-11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 адгезивная пластина, плоская,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01.28.21.01.11.01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423D8" w:rsidRPr="002F3489" w:rsidTr="00B423D8">
        <w:trPr>
          <w:trHeight w:val="14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Адгезивная пластина плоская (для длительного ношения)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: адгезивная многослойная пластина с повышенной устойчивостью к эрозии плоской формы на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гидроколоидной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4F772D">
              <w:rPr>
                <w:bCs/>
                <w:sz w:val="18"/>
                <w:szCs w:val="16"/>
              </w:rPr>
              <w:t>адгезивов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защитным покрытием. Адгезивная пластина должна быть с фланцем размером не менее 40 мм – не более 60 мм, должна быть с шагом фланцевого соединения не более 10 мм. Пластина должна быть гибкая, устойчивая к эрозии,  должна абсорбировать естественную влагу кожи, легко адаптироваться к форме живота. Должна быть снабжена не менее чем 2-мя ушками для крепления пояса. Нестерильная.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129,58</w:t>
            </w:r>
          </w:p>
        </w:tc>
      </w:tr>
      <w:tr w:rsidR="00B423D8" w:rsidRPr="002F3489" w:rsidTr="00B423D8">
        <w:trPr>
          <w:trHeight w:val="14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lastRenderedPageBreak/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lastRenderedPageBreak/>
              <w:t xml:space="preserve">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дренируемый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 </w:t>
            </w:r>
            <w:r w:rsidRPr="004F772D">
              <w:rPr>
                <w:bCs/>
                <w:sz w:val="18"/>
                <w:szCs w:val="16"/>
              </w:rPr>
              <w:lastRenderedPageBreak/>
              <w:t xml:space="preserve">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должен быть с фланцем для крепления мешка к пластине размером не менее 40 мм –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107,47</w:t>
            </w: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21-01-11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 адгезивная пластина, плоская,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01.28.21.01.11.01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Адгезивная пластина плоская для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клеевым слоем с повышенной устойчивостью к эрозии (для длительного ношения). Клеевая пластина тисненой </w:t>
            </w:r>
            <w:proofErr w:type="spellStart"/>
            <w:r w:rsidRPr="004F772D">
              <w:rPr>
                <w:bCs/>
                <w:sz w:val="18"/>
                <w:szCs w:val="16"/>
              </w:rPr>
              <w:t>импрессионной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структуры должна состоять </w:t>
            </w:r>
            <w:proofErr w:type="gramStart"/>
            <w:r w:rsidRPr="004F772D">
              <w:rPr>
                <w:bCs/>
                <w:sz w:val="18"/>
                <w:szCs w:val="16"/>
              </w:rPr>
              <w:t>из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не менее </w:t>
            </w:r>
            <w:proofErr w:type="gramStart"/>
            <w:r w:rsidRPr="004F772D">
              <w:rPr>
                <w:bCs/>
                <w:sz w:val="18"/>
                <w:szCs w:val="16"/>
              </w:rPr>
              <w:t>чем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двух </w:t>
            </w:r>
            <w:proofErr w:type="spellStart"/>
            <w:r w:rsidRPr="004F772D">
              <w:rPr>
                <w:bCs/>
                <w:sz w:val="18"/>
                <w:szCs w:val="16"/>
              </w:rPr>
              <w:t>адгезивов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4F772D">
              <w:rPr>
                <w:bCs/>
                <w:sz w:val="18"/>
                <w:szCs w:val="16"/>
              </w:rPr>
              <w:t>перистомальной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и кишечное отделяемое, набухать и герметично обволакивать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461,41</w:t>
            </w: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 xml:space="preserve">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дренируемый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</w:t>
            </w:r>
            <w:r w:rsidRPr="004F772D">
              <w:rPr>
                <w:bCs/>
                <w:sz w:val="18"/>
                <w:szCs w:val="16"/>
              </w:rPr>
              <w:lastRenderedPageBreak/>
              <w:t xml:space="preserve">мочи, фиксирующийся на передней 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должен быть с фланцем для крепления мешка к пластине размером не менее 40 мм –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107,46</w:t>
            </w: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21-01-11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Двухкомпонентный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в комплекте: адгезивная пластина, плоская,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01.28.21.01.11.01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proofErr w:type="gramStart"/>
            <w:r w:rsidRPr="004F772D">
              <w:rPr>
                <w:bCs/>
                <w:sz w:val="18"/>
                <w:szCs w:val="16"/>
              </w:rPr>
              <w:t>Двухкомпонентный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дренируемый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в составе 1 пластина и 3 мешка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 xml:space="preserve">Адгезивная пластина, плоская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Адгезивная пластина плоская для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клеевым слоем с повышенной устойчивостью к эрозии (для длительного ношения). Клеевая пластина тисненой </w:t>
            </w:r>
            <w:proofErr w:type="spellStart"/>
            <w:r w:rsidRPr="004F772D">
              <w:rPr>
                <w:bCs/>
                <w:sz w:val="18"/>
                <w:szCs w:val="16"/>
              </w:rPr>
              <w:t>импрессионной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структуры должна состоять </w:t>
            </w:r>
            <w:proofErr w:type="gramStart"/>
            <w:r w:rsidRPr="004F772D">
              <w:rPr>
                <w:bCs/>
                <w:sz w:val="18"/>
                <w:szCs w:val="16"/>
              </w:rPr>
              <w:t>из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не менее </w:t>
            </w:r>
            <w:proofErr w:type="gramStart"/>
            <w:r w:rsidRPr="004F772D">
              <w:rPr>
                <w:bCs/>
                <w:sz w:val="18"/>
                <w:szCs w:val="16"/>
              </w:rPr>
              <w:t>чем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двух </w:t>
            </w:r>
            <w:proofErr w:type="spellStart"/>
            <w:r w:rsidRPr="004F772D">
              <w:rPr>
                <w:bCs/>
                <w:sz w:val="18"/>
                <w:szCs w:val="16"/>
              </w:rPr>
              <w:t>адгезивов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4F772D">
              <w:rPr>
                <w:bCs/>
                <w:sz w:val="18"/>
                <w:szCs w:val="16"/>
              </w:rPr>
              <w:t>перистомальной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и кишечное отделяемое, набухать и герметично обволакивать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>Фланцевое соединение должно быть с замком-защелкой, должно обеспечивать надежное и герметичное  соединение мешка и пластины, не оказывая давления на брюшную стенку. Фланец 50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461,40</w:t>
            </w:r>
          </w:p>
        </w:tc>
      </w:tr>
      <w:tr w:rsidR="00B423D8" w:rsidRPr="002F3489" w:rsidTr="00B423D8">
        <w:trPr>
          <w:trHeight w:val="108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4F772D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мешок для </w:t>
            </w:r>
            <w:proofErr w:type="gramStart"/>
            <w:r w:rsidRPr="004F772D">
              <w:rPr>
                <w:bCs/>
                <w:sz w:val="20"/>
                <w:szCs w:val="20"/>
              </w:rPr>
              <w:t>двухкомпонентного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дренируемого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уроприемника</w:t>
            </w:r>
            <w:proofErr w:type="spellEnd"/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дренируемый  двухкомпонентного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симметричной анатомической формы  из прозрачного или непрозрачного многослойного полиэтилена, не пропускающего запах, не менее чем с двусторонним покрытием (подложкой) из мягкого нетканого материала,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мочи, фиксирующийся на передней </w:t>
            </w:r>
            <w:r w:rsidRPr="004F772D">
              <w:rPr>
                <w:bCs/>
                <w:sz w:val="18"/>
                <w:szCs w:val="16"/>
              </w:rPr>
              <w:lastRenderedPageBreak/>
              <w:t xml:space="preserve">брюшной стенке вокруг мочевой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стомы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помощью адгезивной (клеевой) пластины, служащий для сбора мочи и защиты кожи </w:t>
            </w:r>
            <w:proofErr w:type="gramStart"/>
            <w:r w:rsidRPr="004F772D">
              <w:rPr>
                <w:bCs/>
                <w:sz w:val="18"/>
                <w:szCs w:val="16"/>
              </w:rPr>
              <w:t>от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4F772D">
              <w:rPr>
                <w:bCs/>
                <w:sz w:val="18"/>
                <w:szCs w:val="16"/>
              </w:rPr>
              <w:t>ее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агрессивного воздействия.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4F772D">
              <w:rPr>
                <w:bCs/>
                <w:sz w:val="18"/>
                <w:szCs w:val="16"/>
              </w:rPr>
              <w:t>уростомный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должен быть с защелкой на фланцевом кольце для закрепления мешка к соответствующему фланцу пластины, фланец 50 мм. Объем мешка должен быть не менее 750 мл. Дополнительно наличие многоразовой заглушки (затвора) для опорожнения и повторного закрытия мешка.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263,69</w:t>
            </w:r>
          </w:p>
        </w:tc>
      </w:tr>
      <w:tr w:rsidR="00B423D8" w:rsidRPr="002F3489" w:rsidTr="00B423D8">
        <w:trPr>
          <w:trHeight w:val="8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21-01-05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Однокомпонентный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со встроенной плоской пластиной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Дренируемый однокомпонентный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неразъемный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непрозрачного/прозрачного, многослойного, не пропускающего запах полиэтилена, с мягким нетканым покрытием (подложкой) или без покрытия,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и сливным клапанами; </w:t>
            </w:r>
            <w:proofErr w:type="gramStart"/>
            <w:r w:rsidRPr="004F772D">
              <w:rPr>
                <w:bCs/>
                <w:sz w:val="18"/>
                <w:szCs w:val="16"/>
              </w:rPr>
              <w:t xml:space="preserve">со встроенной плоской многослойной  адгезивной пластиной  из натурального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гипоаллергенного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4F772D">
              <w:rPr>
                <w:bCs/>
                <w:sz w:val="18"/>
                <w:szCs w:val="16"/>
              </w:rPr>
              <w:t>гидроколлоида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содержащего желатин, пектин, натрий, </w:t>
            </w:r>
            <w:proofErr w:type="spellStart"/>
            <w:r w:rsidRPr="004F772D">
              <w:rPr>
                <w:bCs/>
                <w:sz w:val="18"/>
                <w:szCs w:val="16"/>
              </w:rPr>
              <w:t>карбоксиметилцеллюлозу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клапаном, предотвращающим обратный заброс мочи.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Пластина должна быть гибкая, легко адаптироваться к форме живота. Минимальное вырезаемое отверстие должно быть не более 19 мм. Максимальное вырезаемое отверстие адгезивной пластины должно быть не более 45 мм. Объем мешка должен быть не менее 500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259,38</w:t>
            </w:r>
          </w:p>
        </w:tc>
      </w:tr>
      <w:tr w:rsidR="00B423D8" w:rsidRPr="002F3489" w:rsidTr="00B423D8">
        <w:trPr>
          <w:trHeight w:val="9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rPr>
                <w:sz w:val="20"/>
                <w:szCs w:val="20"/>
                <w:lang w:eastAsia="ru-RU"/>
              </w:rPr>
            </w:pPr>
            <w:r w:rsidRPr="004F772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ОКПД</w:t>
            </w:r>
            <w:proofErr w:type="gramStart"/>
            <w:r w:rsidRPr="004F772D">
              <w:rPr>
                <w:bCs/>
                <w:sz w:val="20"/>
                <w:szCs w:val="20"/>
              </w:rPr>
              <w:t>2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32.50.13.190</w:t>
            </w:r>
          </w:p>
          <w:p w:rsidR="00B423D8" w:rsidRPr="004F772D" w:rsidRDefault="00B423D8" w:rsidP="004F772D">
            <w:pPr>
              <w:keepNext/>
              <w:keepLines/>
              <w:spacing w:after="16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21-01-05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proofErr w:type="gramStart"/>
            <w:r w:rsidRPr="004F772D">
              <w:rPr>
                <w:bCs/>
                <w:sz w:val="20"/>
                <w:szCs w:val="20"/>
              </w:rPr>
              <w:t>Однокомпонентный</w:t>
            </w:r>
            <w:proofErr w:type="gramEnd"/>
            <w:r w:rsidRPr="004F772D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4F772D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4F772D">
              <w:rPr>
                <w:bCs/>
                <w:sz w:val="20"/>
                <w:szCs w:val="20"/>
              </w:rPr>
              <w:t xml:space="preserve"> со встроенной плоской пластиной</w:t>
            </w:r>
          </w:p>
          <w:p w:rsidR="00B423D8" w:rsidRPr="004F772D" w:rsidRDefault="00B423D8" w:rsidP="004F772D">
            <w:pPr>
              <w:keepNext/>
              <w:keepLines/>
              <w:autoSpaceDE w:val="0"/>
              <w:contextualSpacing/>
              <w:rPr>
                <w:bCs/>
                <w:sz w:val="20"/>
                <w:szCs w:val="20"/>
              </w:rPr>
            </w:pPr>
            <w:r w:rsidRPr="004F772D">
              <w:rPr>
                <w:bCs/>
                <w:sz w:val="20"/>
                <w:szCs w:val="20"/>
              </w:rPr>
              <w:t>01.28.21.01.05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contextualSpacing/>
              <w:jc w:val="both"/>
              <w:rPr>
                <w:bCs/>
                <w:sz w:val="18"/>
                <w:szCs w:val="16"/>
              </w:rPr>
            </w:pPr>
            <w:r w:rsidRPr="004F772D">
              <w:rPr>
                <w:bCs/>
                <w:sz w:val="18"/>
                <w:szCs w:val="16"/>
              </w:rPr>
              <w:t xml:space="preserve">Дренируемый однокомпонентный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- неразъемный герметичный </w:t>
            </w:r>
            <w:proofErr w:type="spellStart"/>
            <w:r w:rsidRPr="004F772D">
              <w:rPr>
                <w:bCs/>
                <w:sz w:val="18"/>
                <w:szCs w:val="16"/>
              </w:rPr>
              <w:t>стомный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мешок из непрозрачного/прозрачного, многослойного, не пропускающего запах полиэтилена, с односторонним или двусторонним мягким нетканым покрытием (подложкой), с </w:t>
            </w:r>
            <w:proofErr w:type="spellStart"/>
            <w:r w:rsidRPr="004F772D">
              <w:rPr>
                <w:bCs/>
                <w:sz w:val="18"/>
                <w:szCs w:val="16"/>
              </w:rPr>
              <w:t>антирефлюксным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и сливным клапанами; со встроенной плоской многослойной  адгезивной пластиной  на </w:t>
            </w:r>
            <w:proofErr w:type="spellStart"/>
            <w:r w:rsidRPr="004F772D">
              <w:rPr>
                <w:bCs/>
                <w:sz w:val="18"/>
                <w:szCs w:val="16"/>
              </w:rPr>
              <w:t>гипоаллергенной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гидроколлоидной основе из не менее</w:t>
            </w:r>
            <w:proofErr w:type="gramStart"/>
            <w:r w:rsidRPr="004F772D">
              <w:rPr>
                <w:bCs/>
                <w:sz w:val="18"/>
                <w:szCs w:val="16"/>
              </w:rPr>
              <w:t>,</w:t>
            </w:r>
            <w:proofErr w:type="gramEnd"/>
            <w:r w:rsidRPr="004F772D">
              <w:rPr>
                <w:bCs/>
                <w:sz w:val="18"/>
                <w:szCs w:val="16"/>
              </w:rPr>
              <w:t xml:space="preserve"> чем двух чередующихся </w:t>
            </w:r>
            <w:proofErr w:type="spellStart"/>
            <w:r w:rsidRPr="004F772D">
              <w:rPr>
                <w:bCs/>
                <w:sz w:val="18"/>
                <w:szCs w:val="16"/>
              </w:rPr>
              <w:t>адгезивов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с защитным покрытием для фиксации </w:t>
            </w:r>
            <w:proofErr w:type="spellStart"/>
            <w:r w:rsidRPr="004F772D">
              <w:rPr>
                <w:bCs/>
                <w:sz w:val="18"/>
                <w:szCs w:val="16"/>
              </w:rPr>
              <w:t>уроприемника</w:t>
            </w:r>
            <w:proofErr w:type="spellEnd"/>
            <w:r w:rsidRPr="004F772D">
              <w:rPr>
                <w:bCs/>
                <w:sz w:val="18"/>
                <w:szCs w:val="16"/>
              </w:rPr>
              <w:t xml:space="preserve"> на передней брюшной стенке. Максимальное вырезаемое отверстие адгезивной пластины не менее 55 мм. Объем мешка должен быть не менее 535 мл. Дополнительно наличие многоразовой заглушки (затвора) для опорожнения и повторного закрытия мешка. Нестерильный.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125,36</w:t>
            </w:r>
          </w:p>
        </w:tc>
      </w:tr>
      <w:tr w:rsidR="00B423D8" w:rsidRPr="004F772D" w:rsidTr="00B423D8">
        <w:trPr>
          <w:trHeight w:val="98"/>
        </w:trPr>
        <w:tc>
          <w:tcPr>
            <w:tcW w:w="84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/>
              <w:contextualSpacing/>
              <w:jc w:val="both"/>
              <w:rPr>
                <w:bCs/>
                <w:sz w:val="22"/>
              </w:rPr>
            </w:pPr>
            <w:r w:rsidRPr="004F772D">
              <w:rPr>
                <w:bCs/>
                <w:sz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 w:rsidRPr="004F772D">
              <w:rPr>
                <w:spacing w:val="-2"/>
                <w:sz w:val="22"/>
                <w:szCs w:val="22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3D8" w:rsidRPr="004F772D" w:rsidRDefault="00B423D8" w:rsidP="004F772D">
            <w:pPr>
              <w:keepNext/>
              <w:keepLines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D40980" w:rsidRPr="00F41A5A" w:rsidRDefault="00D40980" w:rsidP="004F772D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B719B" w:rsidRPr="005200EB" w:rsidRDefault="00214764" w:rsidP="00FE70D7">
      <w:pPr>
        <w:pStyle w:val="af4"/>
        <w:keepNext/>
        <w:keepLines/>
        <w:numPr>
          <w:ilvl w:val="0"/>
          <w:numId w:val="2"/>
        </w:numPr>
        <w:spacing w:line="300" w:lineRule="exact"/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lastRenderedPageBreak/>
        <w:t xml:space="preserve">Место поставки товара: </w:t>
      </w:r>
      <w:r w:rsidR="00AB719B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FE70D7" w:rsidRDefault="00AB719B" w:rsidP="00FE70D7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FE70D7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FE70D7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FE70D7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="00FE70D7" w:rsidRPr="00FE70D7">
        <w:rPr>
          <w:spacing w:val="-2"/>
        </w:rPr>
        <w:t xml:space="preserve"> установить график работы пунктов выдачи Товара, включая работу в один из выходных дней. </w:t>
      </w:r>
      <w:r w:rsidRPr="00FE70D7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</w:t>
      </w:r>
    </w:p>
    <w:p w:rsidR="00751BED" w:rsidRPr="005200EB" w:rsidRDefault="00AB719B" w:rsidP="00FE70D7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4D299D" w:rsidRPr="005200EB" w:rsidRDefault="00214764" w:rsidP="00FE70D7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="008D0786" w:rsidRPr="005200EB">
        <w:t xml:space="preserve"> п</w:t>
      </w:r>
      <w:r w:rsidR="00751BED" w:rsidRPr="005200EB">
        <w:rPr>
          <w:spacing w:val="-2"/>
        </w:rPr>
        <w:t xml:space="preserve">оставка Товара осуществляется поэтапно. </w:t>
      </w:r>
      <w:r w:rsidR="00CF695D" w:rsidRPr="005200EB">
        <w:rPr>
          <w:spacing w:val="-2"/>
        </w:rPr>
        <w:t xml:space="preserve">Сроки отдельных этапов </w:t>
      </w:r>
      <w:r w:rsidR="004D299D" w:rsidRPr="005200EB">
        <w:rPr>
          <w:spacing w:val="-2"/>
        </w:rPr>
        <w:t xml:space="preserve">исполнения Контракта: </w:t>
      </w:r>
    </w:p>
    <w:p w:rsidR="004D299D" w:rsidRPr="005200EB" w:rsidRDefault="004D299D" w:rsidP="00FE70D7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первый этап (</w:t>
      </w:r>
      <w:r w:rsidR="00BB0723" w:rsidRPr="00BB0723">
        <w:rPr>
          <w:spacing w:val="-2"/>
        </w:rPr>
        <w:t xml:space="preserve">с даты заключения Контракта </w:t>
      </w:r>
      <w:r w:rsidRPr="005200EB">
        <w:rPr>
          <w:spacing w:val="-2"/>
        </w:rPr>
        <w:t xml:space="preserve">по </w:t>
      </w:r>
      <w:r w:rsidR="0065794B">
        <w:rPr>
          <w:spacing w:val="-2"/>
        </w:rPr>
        <w:t>31.05.2023</w:t>
      </w:r>
      <w:r w:rsidRPr="005200EB">
        <w:rPr>
          <w:spacing w:val="-2"/>
        </w:rPr>
        <w:t xml:space="preserve"> г.);</w:t>
      </w:r>
    </w:p>
    <w:p w:rsidR="004D299D" w:rsidRPr="0065794B" w:rsidRDefault="004D299D" w:rsidP="00FE70D7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второй этап (с </w:t>
      </w:r>
      <w:r w:rsidR="0065794B">
        <w:rPr>
          <w:spacing w:val="-2"/>
        </w:rPr>
        <w:t>01.05.2023</w:t>
      </w:r>
      <w:r w:rsidRPr="0065794B">
        <w:rPr>
          <w:spacing w:val="-2"/>
        </w:rPr>
        <w:t xml:space="preserve"> г. по </w:t>
      </w:r>
      <w:r w:rsidR="0065794B">
        <w:rPr>
          <w:spacing w:val="-2"/>
        </w:rPr>
        <w:t>31.08.2023</w:t>
      </w:r>
      <w:r w:rsidR="00761569" w:rsidRPr="0065794B">
        <w:rPr>
          <w:spacing w:val="-2"/>
        </w:rPr>
        <w:t xml:space="preserve"> г.</w:t>
      </w:r>
      <w:r w:rsidRPr="0065794B">
        <w:rPr>
          <w:spacing w:val="-2"/>
        </w:rPr>
        <w:t xml:space="preserve">). </w:t>
      </w:r>
    </w:p>
    <w:p w:rsidR="003C1A8D" w:rsidRPr="005200EB" w:rsidRDefault="003C1A8D" w:rsidP="00FE70D7">
      <w:pPr>
        <w:pStyle w:val="af4"/>
        <w:keepNext/>
        <w:keepLines/>
        <w:numPr>
          <w:ilvl w:val="0"/>
          <w:numId w:val="2"/>
        </w:numPr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Предусмотрен аванс в размере </w:t>
      </w:r>
      <w:r w:rsidR="0065794B">
        <w:rPr>
          <w:spacing w:val="-2"/>
        </w:rPr>
        <w:t>5</w:t>
      </w:r>
      <w:r w:rsidRPr="005200EB">
        <w:rPr>
          <w:spacing w:val="-2"/>
        </w:rPr>
        <w:t>0% в отношении каждого этапа.</w:t>
      </w:r>
    </w:p>
    <w:p w:rsidR="00E07087" w:rsidRPr="0065794B" w:rsidRDefault="00E07087" w:rsidP="00FE70D7">
      <w:pPr>
        <w:keepNext/>
        <w:keepLines/>
        <w:suppressAutoHyphens w:val="0"/>
        <w:spacing w:line="300" w:lineRule="exact"/>
        <w:ind w:firstLine="709"/>
        <w:contextualSpacing/>
        <w:jc w:val="both"/>
        <w:rPr>
          <w:spacing w:val="-2"/>
        </w:rPr>
      </w:pPr>
      <w:r w:rsidRPr="0065794B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65794B">
        <w:rPr>
          <w:spacing w:val="-2"/>
        </w:rPr>
        <w:t>с даты получения</w:t>
      </w:r>
      <w:proofErr w:type="gramEnd"/>
      <w:r w:rsidRPr="0065794B">
        <w:rPr>
          <w:spacing w:val="-2"/>
        </w:rPr>
        <w:t xml:space="preserve"> от Заказчика реестра получателей Товара по </w:t>
      </w:r>
      <w:r w:rsidR="0065794B" w:rsidRPr="0065794B">
        <w:rPr>
          <w:spacing w:val="-2"/>
        </w:rPr>
        <w:t xml:space="preserve">«31» июля 2023 </w:t>
      </w:r>
      <w:r w:rsidRPr="0065794B">
        <w:rPr>
          <w:spacing w:val="-2"/>
        </w:rPr>
        <w:t xml:space="preserve">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5200EB" w:rsidRDefault="00E07087" w:rsidP="00FE70D7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5200EB" w:rsidRDefault="00E07087" w:rsidP="00FE70D7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5200EB" w:rsidRDefault="00E07087" w:rsidP="00FE70D7">
      <w:pPr>
        <w:pStyle w:val="af4"/>
        <w:keepNext/>
        <w:keepLines/>
        <w:numPr>
          <w:ilvl w:val="0"/>
          <w:numId w:val="2"/>
        </w:numPr>
        <w:spacing w:line="300" w:lineRule="exact"/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по месту жительства (месту пребывания, фактического проживания) </w:t>
      </w:r>
      <w:proofErr w:type="gramStart"/>
      <w:r w:rsidRPr="005200EB">
        <w:rPr>
          <w:spacing w:val="-2"/>
        </w:rPr>
        <w:t>Получателя</w:t>
      </w:r>
      <w:proofErr w:type="gramEnd"/>
      <w:r w:rsidRPr="005200EB">
        <w:rPr>
          <w:spacing w:val="-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5200EB" w:rsidRDefault="00E07087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5200EB">
        <w:rPr>
          <w:spacing w:val="-2"/>
        </w:rPr>
        <w:t>.</w:t>
      </w:r>
    </w:p>
    <w:p w:rsidR="00214764" w:rsidRPr="005200EB" w:rsidRDefault="00214764" w:rsidP="004F772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534D7B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по </w:t>
      </w:r>
      <w:r w:rsidR="00F4633A" w:rsidRPr="00F4633A">
        <w:rPr>
          <w:rFonts w:ascii="Times New Roman CYR" w:eastAsia="Times New Roman CYR" w:hAnsi="Times New Roman CYR" w:cs="Times New Roman CYR"/>
          <w:bCs/>
          <w:iCs/>
          <w:spacing w:val="-2"/>
        </w:rPr>
        <w:t>«31» августа 2023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  <w:r w:rsidRPr="005200EB">
        <w:t xml:space="preserve"> </w:t>
      </w:r>
    </w:p>
    <w:sectPr w:rsidR="00214764" w:rsidRPr="005200EB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2D" w:rsidRDefault="004F772D" w:rsidP="0065794B">
      <w:r>
        <w:separator/>
      </w:r>
    </w:p>
  </w:endnote>
  <w:endnote w:type="continuationSeparator" w:id="0">
    <w:p w:rsidR="004F772D" w:rsidRDefault="004F772D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2D" w:rsidRDefault="004F772D" w:rsidP="0065794B">
      <w:r>
        <w:separator/>
      </w:r>
    </w:p>
  </w:footnote>
  <w:footnote w:type="continuationSeparator" w:id="0">
    <w:p w:rsidR="004F772D" w:rsidRDefault="004F772D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C0535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A6"/>
    <w:rsid w:val="002D46CB"/>
    <w:rsid w:val="002D70AE"/>
    <w:rsid w:val="002F0D92"/>
    <w:rsid w:val="002F26A7"/>
    <w:rsid w:val="002F36D9"/>
    <w:rsid w:val="002F5B69"/>
    <w:rsid w:val="00301D1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47048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5799"/>
    <w:rsid w:val="004E076E"/>
    <w:rsid w:val="004E0FFB"/>
    <w:rsid w:val="004E1E5D"/>
    <w:rsid w:val="004F42D5"/>
    <w:rsid w:val="004F772D"/>
    <w:rsid w:val="00514539"/>
    <w:rsid w:val="00515797"/>
    <w:rsid w:val="005200EB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2CAC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635F"/>
    <w:rsid w:val="00646AF1"/>
    <w:rsid w:val="00655BB3"/>
    <w:rsid w:val="0065794B"/>
    <w:rsid w:val="00662E35"/>
    <w:rsid w:val="0067327C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37CEB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D0786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2DB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AF4911"/>
    <w:rsid w:val="00B15A85"/>
    <w:rsid w:val="00B2527A"/>
    <w:rsid w:val="00B26878"/>
    <w:rsid w:val="00B369FD"/>
    <w:rsid w:val="00B423D8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0723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13F5B"/>
    <w:rsid w:val="00F17EE1"/>
    <w:rsid w:val="00F20E2E"/>
    <w:rsid w:val="00F22BCA"/>
    <w:rsid w:val="00F26432"/>
    <w:rsid w:val="00F41A5A"/>
    <w:rsid w:val="00F424BC"/>
    <w:rsid w:val="00F4398C"/>
    <w:rsid w:val="00F4633A"/>
    <w:rsid w:val="00F5021B"/>
    <w:rsid w:val="00F72192"/>
    <w:rsid w:val="00F8425D"/>
    <w:rsid w:val="00F857D8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E70D7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656F-B634-4D68-BEB9-E5784BF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28053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4</cp:revision>
  <cp:lastPrinted>2022-12-13T15:30:00Z</cp:lastPrinted>
  <dcterms:created xsi:type="dcterms:W3CDTF">2022-12-14T09:30:00Z</dcterms:created>
  <dcterms:modified xsi:type="dcterms:W3CDTF">2022-12-14T11:07:00Z</dcterms:modified>
</cp:coreProperties>
</file>