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5F" w:rsidRPr="0092549A" w:rsidRDefault="003F0D5F" w:rsidP="003F0D5F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92549A">
        <w:rPr>
          <w:sz w:val="22"/>
          <w:szCs w:val="22"/>
        </w:rPr>
        <w:t>Приложение 1</w:t>
      </w:r>
    </w:p>
    <w:p w:rsidR="003F0D5F" w:rsidRDefault="003F0D5F" w:rsidP="003F0D5F">
      <w:pPr>
        <w:spacing w:line="0" w:lineRule="atLeast"/>
        <w:jc w:val="right"/>
      </w:pPr>
      <w:r w:rsidRPr="007360A1">
        <w:t xml:space="preserve"> </w:t>
      </w:r>
    </w:p>
    <w:p w:rsidR="003F0D5F" w:rsidRPr="007360A1" w:rsidRDefault="003F0D5F" w:rsidP="003F0D5F">
      <w:pPr>
        <w:spacing w:line="0" w:lineRule="atLeast"/>
        <w:jc w:val="right"/>
        <w:rPr>
          <w:bCs/>
        </w:rPr>
      </w:pPr>
      <w:r w:rsidRPr="007360A1">
        <w:rPr>
          <w:bCs/>
        </w:rPr>
        <w:t>Утверждаю</w:t>
      </w:r>
    </w:p>
    <w:p w:rsidR="0011457D" w:rsidRDefault="003F0D5F" w:rsidP="0011457D">
      <w:pPr>
        <w:spacing w:line="0" w:lineRule="atLeast"/>
        <w:jc w:val="right"/>
        <w:rPr>
          <w:bCs/>
        </w:rPr>
      </w:pPr>
      <w:r>
        <w:rPr>
          <w:bCs/>
        </w:rPr>
        <w:t>Н</w:t>
      </w:r>
      <w:r w:rsidRPr="007360A1">
        <w:rPr>
          <w:bCs/>
        </w:rPr>
        <w:t xml:space="preserve">ачальник </w:t>
      </w:r>
      <w:r w:rsidR="0011457D" w:rsidRPr="0011457D">
        <w:rPr>
          <w:bCs/>
        </w:rPr>
        <w:t>отдела социальных программ</w:t>
      </w:r>
      <w:r w:rsidRPr="007360A1">
        <w:rPr>
          <w:bCs/>
        </w:rPr>
        <w:t xml:space="preserve"> </w:t>
      </w:r>
    </w:p>
    <w:p w:rsidR="003F0D5F" w:rsidRPr="007360A1" w:rsidRDefault="003F0D5F" w:rsidP="0011457D">
      <w:pPr>
        <w:spacing w:line="0" w:lineRule="atLeast"/>
        <w:jc w:val="right"/>
        <w:rPr>
          <w:bCs/>
        </w:rPr>
      </w:pPr>
      <w:r w:rsidRPr="007360A1">
        <w:rPr>
          <w:bCs/>
        </w:rPr>
        <w:t>О</w:t>
      </w:r>
      <w:r>
        <w:rPr>
          <w:bCs/>
        </w:rPr>
        <w:t>С</w:t>
      </w:r>
      <w:r w:rsidRPr="007360A1">
        <w:rPr>
          <w:bCs/>
        </w:rPr>
        <w:t>ФР по Республике Тыва</w:t>
      </w:r>
    </w:p>
    <w:p w:rsidR="003F0D5F" w:rsidRDefault="003F0D5F" w:rsidP="003F0D5F">
      <w:pPr>
        <w:spacing w:line="0" w:lineRule="atLeast"/>
        <w:jc w:val="right"/>
        <w:rPr>
          <w:bCs/>
        </w:rPr>
      </w:pPr>
      <w:r w:rsidRPr="007360A1">
        <w:rPr>
          <w:bCs/>
        </w:rPr>
        <w:t xml:space="preserve">                                                                                       ______________ </w:t>
      </w:r>
      <w:r w:rsidR="0011457D">
        <w:rPr>
          <w:bCs/>
        </w:rPr>
        <w:t>Ч.</w:t>
      </w:r>
      <w:r w:rsidR="005E0C9A">
        <w:rPr>
          <w:bCs/>
        </w:rPr>
        <w:t xml:space="preserve"> </w:t>
      </w:r>
      <w:r w:rsidR="0011457D">
        <w:rPr>
          <w:bCs/>
        </w:rPr>
        <w:t xml:space="preserve">К. </w:t>
      </w:r>
      <w:proofErr w:type="spellStart"/>
      <w:r w:rsidR="0011457D">
        <w:rPr>
          <w:bCs/>
        </w:rPr>
        <w:t>Хертек</w:t>
      </w:r>
      <w:proofErr w:type="spellEnd"/>
    </w:p>
    <w:p w:rsidR="003F0D5F" w:rsidRPr="007360A1" w:rsidRDefault="003F0D5F" w:rsidP="003F0D5F">
      <w:pPr>
        <w:spacing w:line="0" w:lineRule="atLeast"/>
        <w:jc w:val="right"/>
        <w:rPr>
          <w:bCs/>
        </w:rPr>
      </w:pPr>
      <w:r w:rsidRPr="007360A1">
        <w:rPr>
          <w:bCs/>
        </w:rPr>
        <w:t xml:space="preserve"> «____»</w:t>
      </w:r>
      <w:r>
        <w:rPr>
          <w:bCs/>
        </w:rPr>
        <w:t xml:space="preserve"> </w:t>
      </w:r>
      <w:r w:rsidRPr="007360A1">
        <w:rPr>
          <w:bCs/>
        </w:rPr>
        <w:t>______________</w:t>
      </w:r>
      <w:r>
        <w:rPr>
          <w:bCs/>
        </w:rPr>
        <w:t xml:space="preserve"> </w:t>
      </w:r>
      <w:r w:rsidRPr="007360A1">
        <w:rPr>
          <w:bCs/>
        </w:rPr>
        <w:t>202</w:t>
      </w:r>
      <w:r>
        <w:rPr>
          <w:bCs/>
        </w:rPr>
        <w:t>3</w:t>
      </w:r>
      <w:r w:rsidRPr="007360A1">
        <w:rPr>
          <w:bCs/>
        </w:rPr>
        <w:t xml:space="preserve"> г.</w:t>
      </w:r>
    </w:p>
    <w:p w:rsidR="00FD51BD" w:rsidRDefault="00FD51BD" w:rsidP="00E0170F">
      <w:pPr>
        <w:pStyle w:val="22"/>
        <w:jc w:val="center"/>
        <w:rPr>
          <w:b/>
        </w:rPr>
      </w:pPr>
    </w:p>
    <w:p w:rsidR="003F0D5F" w:rsidRDefault="003F0D5F" w:rsidP="003F0D5F">
      <w:pPr>
        <w:pStyle w:val="a7"/>
        <w:spacing w:before="0" w:beforeAutospacing="0" w:after="0"/>
        <w:ind w:firstLine="709"/>
        <w:contextualSpacing/>
        <w:jc w:val="center"/>
        <w:rPr>
          <w:b/>
        </w:rPr>
      </w:pPr>
      <w:r w:rsidRPr="0092549A">
        <w:rPr>
          <w:b/>
        </w:rPr>
        <w:t>Описание объекта закупки</w:t>
      </w:r>
    </w:p>
    <w:p w:rsidR="003F0D5F" w:rsidRDefault="003F0D5F" w:rsidP="006B492A">
      <w:pPr>
        <w:widowControl w:val="0"/>
        <w:tabs>
          <w:tab w:val="left" w:pos="61"/>
        </w:tabs>
        <w:suppressAutoHyphens/>
        <w:autoSpaceDE w:val="0"/>
        <w:ind w:firstLine="709"/>
        <w:jc w:val="center"/>
        <w:rPr>
          <w:lang w:eastAsia="ar-SA"/>
        </w:rPr>
      </w:pPr>
    </w:p>
    <w:p w:rsidR="006B492A" w:rsidRDefault="00530D17" w:rsidP="00E0170F">
      <w:pPr>
        <w:widowControl w:val="0"/>
        <w:tabs>
          <w:tab w:val="left" w:pos="61"/>
        </w:tabs>
        <w:suppressAutoHyphens/>
        <w:autoSpaceDE w:val="0"/>
        <w:ind w:firstLine="709"/>
        <w:jc w:val="both"/>
        <w:rPr>
          <w:lang w:eastAsia="ar-SA"/>
        </w:rPr>
      </w:pPr>
      <w:r w:rsidRPr="00530D17">
        <w:rPr>
          <w:lang w:eastAsia="ar-SA"/>
        </w:rPr>
        <w:t>Выполнение работ по изготовлению аппаратов на нижние конечности</w:t>
      </w:r>
      <w:r>
        <w:rPr>
          <w:lang w:eastAsia="ar-SA"/>
        </w:rPr>
        <w:t>.</w:t>
      </w:r>
    </w:p>
    <w:p w:rsidR="00530D17" w:rsidRPr="00E37928" w:rsidRDefault="00530D17" w:rsidP="00E0170F">
      <w:pPr>
        <w:widowControl w:val="0"/>
        <w:tabs>
          <w:tab w:val="left" w:pos="61"/>
        </w:tabs>
        <w:suppressAutoHyphens/>
        <w:autoSpaceDE w:val="0"/>
        <w:ind w:firstLine="709"/>
        <w:jc w:val="both"/>
        <w:rPr>
          <w:color w:val="FF0000"/>
          <w:lang w:eastAsia="ar-SA"/>
        </w:rPr>
      </w:pPr>
    </w:p>
    <w:tbl>
      <w:tblPr>
        <w:tblW w:w="92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1709"/>
        <w:gridCol w:w="5387"/>
        <w:gridCol w:w="850"/>
        <w:gridCol w:w="851"/>
      </w:tblGrid>
      <w:tr w:rsidR="007919F9" w:rsidRPr="007919F9" w:rsidTr="007919F9">
        <w:tc>
          <w:tcPr>
            <w:tcW w:w="499" w:type="dxa"/>
            <w:vAlign w:val="center"/>
            <w:hideMark/>
          </w:tcPr>
          <w:p w:rsidR="00E0170F" w:rsidRPr="007919F9" w:rsidRDefault="00E0170F" w:rsidP="007919F9">
            <w:pPr>
              <w:keepNext/>
              <w:snapToGrid w:val="0"/>
              <w:contextualSpacing/>
              <w:jc w:val="center"/>
            </w:pPr>
            <w:r w:rsidRPr="007919F9">
              <w:t xml:space="preserve">№ </w:t>
            </w:r>
            <w:proofErr w:type="gramStart"/>
            <w:r w:rsidRPr="007919F9">
              <w:t>п</w:t>
            </w:r>
            <w:proofErr w:type="gramEnd"/>
            <w:r w:rsidRPr="007919F9">
              <w:t>/п</w:t>
            </w:r>
          </w:p>
        </w:tc>
        <w:tc>
          <w:tcPr>
            <w:tcW w:w="1709" w:type="dxa"/>
            <w:vAlign w:val="center"/>
            <w:hideMark/>
          </w:tcPr>
          <w:p w:rsidR="00E0170F" w:rsidRPr="007919F9" w:rsidRDefault="00E0170F" w:rsidP="007919F9">
            <w:pPr>
              <w:jc w:val="center"/>
            </w:pPr>
            <w:r w:rsidRPr="007919F9">
              <w:t>Наименование объекта закупки</w:t>
            </w:r>
          </w:p>
        </w:tc>
        <w:tc>
          <w:tcPr>
            <w:tcW w:w="5387" w:type="dxa"/>
            <w:vAlign w:val="center"/>
            <w:hideMark/>
          </w:tcPr>
          <w:p w:rsidR="00E0170F" w:rsidRPr="007919F9" w:rsidRDefault="00E0170F" w:rsidP="007919F9">
            <w:pPr>
              <w:autoSpaceDE w:val="0"/>
              <w:autoSpaceDN w:val="0"/>
              <w:adjustRightInd w:val="0"/>
              <w:jc w:val="center"/>
            </w:pPr>
            <w:r w:rsidRPr="007919F9">
              <w:t>Описание объекта закупки:</w:t>
            </w:r>
          </w:p>
          <w:p w:rsidR="00E0170F" w:rsidRPr="007919F9" w:rsidRDefault="00E0170F" w:rsidP="007919F9">
            <w:pPr>
              <w:jc w:val="center"/>
            </w:pPr>
          </w:p>
        </w:tc>
        <w:tc>
          <w:tcPr>
            <w:tcW w:w="850" w:type="dxa"/>
            <w:vAlign w:val="center"/>
          </w:tcPr>
          <w:p w:rsidR="00E0170F" w:rsidRPr="007919F9" w:rsidRDefault="00E0170F" w:rsidP="007919F9">
            <w:pPr>
              <w:snapToGrid w:val="0"/>
              <w:contextualSpacing/>
              <w:jc w:val="center"/>
            </w:pPr>
            <w:r w:rsidRPr="007919F9">
              <w:t>Ед. изм.</w:t>
            </w:r>
          </w:p>
        </w:tc>
        <w:tc>
          <w:tcPr>
            <w:tcW w:w="851" w:type="dxa"/>
            <w:vAlign w:val="center"/>
          </w:tcPr>
          <w:p w:rsidR="00E0170F" w:rsidRPr="007919F9" w:rsidRDefault="00E0170F" w:rsidP="007919F9">
            <w:pPr>
              <w:snapToGrid w:val="0"/>
              <w:contextualSpacing/>
              <w:jc w:val="center"/>
            </w:pPr>
            <w:r w:rsidRPr="007919F9">
              <w:t>Кол-во.</w:t>
            </w:r>
          </w:p>
        </w:tc>
      </w:tr>
      <w:tr w:rsidR="007919F9" w:rsidRPr="007919F9" w:rsidTr="007919F9">
        <w:trPr>
          <w:trHeight w:val="79"/>
        </w:trPr>
        <w:tc>
          <w:tcPr>
            <w:tcW w:w="499" w:type="dxa"/>
            <w:vAlign w:val="center"/>
          </w:tcPr>
          <w:p w:rsidR="00E0170F" w:rsidRPr="007919F9" w:rsidRDefault="00E0170F" w:rsidP="007919F9">
            <w:pPr>
              <w:widowControl w:val="0"/>
              <w:autoSpaceDE w:val="0"/>
              <w:snapToGrid w:val="0"/>
              <w:contextualSpacing/>
              <w:jc w:val="center"/>
              <w:rPr>
                <w:bCs/>
                <w:shd w:val="clear" w:color="auto" w:fill="FFFFFF"/>
              </w:rPr>
            </w:pPr>
            <w:r w:rsidRPr="007919F9">
              <w:rPr>
                <w:bCs/>
                <w:shd w:val="clear" w:color="auto" w:fill="FFFFFF"/>
              </w:rPr>
              <w:t>1</w:t>
            </w:r>
          </w:p>
        </w:tc>
        <w:tc>
          <w:tcPr>
            <w:tcW w:w="1709" w:type="dxa"/>
            <w:vAlign w:val="center"/>
          </w:tcPr>
          <w:p w:rsidR="00E0170F" w:rsidRPr="007919F9" w:rsidRDefault="00D97E91" w:rsidP="00530D17">
            <w:pPr>
              <w:suppressAutoHyphens/>
              <w:rPr>
                <w:lang w:eastAsia="ar-SA"/>
              </w:rPr>
            </w:pPr>
            <w:r w:rsidRPr="007919F9">
              <w:rPr>
                <w:lang w:eastAsia="ar-SA"/>
              </w:rPr>
              <w:t>Аппарат на нижние конечности туловищ</w:t>
            </w:r>
            <w:r w:rsidR="00530D17">
              <w:rPr>
                <w:lang w:eastAsia="ar-SA"/>
              </w:rPr>
              <w:t>а</w:t>
            </w:r>
            <w:r w:rsidRPr="007919F9">
              <w:rPr>
                <w:lang w:eastAsia="ar-SA"/>
              </w:rPr>
              <w:t xml:space="preserve"> (</w:t>
            </w:r>
            <w:proofErr w:type="spellStart"/>
            <w:r w:rsidRPr="007919F9">
              <w:rPr>
                <w:lang w:eastAsia="ar-SA"/>
              </w:rPr>
              <w:t>ортез</w:t>
            </w:r>
            <w:proofErr w:type="spellEnd"/>
            <w:r w:rsidRPr="007919F9">
              <w:rPr>
                <w:lang w:eastAsia="ar-SA"/>
              </w:rPr>
              <w:t>)</w:t>
            </w:r>
          </w:p>
        </w:tc>
        <w:tc>
          <w:tcPr>
            <w:tcW w:w="5387" w:type="dxa"/>
            <w:vAlign w:val="center"/>
          </w:tcPr>
          <w:p w:rsidR="00E0170F" w:rsidRPr="007919F9" w:rsidRDefault="007538B4" w:rsidP="00F24FEE">
            <w:pPr>
              <w:suppressAutoHyphens/>
              <w:jc w:val="both"/>
              <w:rPr>
                <w:lang w:eastAsia="ar-SA"/>
              </w:rPr>
            </w:pPr>
            <w:r w:rsidRPr="007919F9">
              <w:t xml:space="preserve">Аппарат предназначен для отведения бедер, стабилизации тазобедренных и коленных суставов. Должен состоять из </w:t>
            </w:r>
            <w:proofErr w:type="spellStart"/>
            <w:r w:rsidRPr="007919F9">
              <w:t>полукорсета</w:t>
            </w:r>
            <w:proofErr w:type="spellEnd"/>
            <w:r w:rsidRPr="007919F9">
              <w:t xml:space="preserve"> на туловище, манжет</w:t>
            </w:r>
            <w:r w:rsidR="00F24FEE">
              <w:t>а</w:t>
            </w:r>
            <w:r w:rsidRPr="007919F9">
              <w:t xml:space="preserve"> для бедер и соединительных стержней. Пластмассовый поясной ремень должен оказывать максимальную поддержку на туловищ</w:t>
            </w:r>
            <w:r w:rsidR="00F24FEE">
              <w:t>е</w:t>
            </w:r>
            <w:r w:rsidRPr="007919F9">
              <w:t xml:space="preserve"> пользователя со слабыми мышцами ног. Для фиксации на туловище поясной ремень должен иметь застежку, расположенную спереди. Ремень </w:t>
            </w:r>
            <w:r w:rsidR="0052259A" w:rsidRPr="007919F9">
              <w:t xml:space="preserve">должен менять длину и поддерживать с боков. Угол отведения и сгибания бедер должен регулироваться шарнирами, расположенными на пояснице. Размеры </w:t>
            </w:r>
            <w:proofErr w:type="spellStart"/>
            <w:r w:rsidR="0052259A" w:rsidRPr="007919F9">
              <w:t>полукорсета</w:t>
            </w:r>
            <w:proofErr w:type="spellEnd"/>
            <w:r w:rsidR="0052259A" w:rsidRPr="007919F9">
              <w:t xml:space="preserve"> и манжет для бедер подбираются в соответствии </w:t>
            </w:r>
            <w:proofErr w:type="gramStart"/>
            <w:r w:rsidR="0052259A" w:rsidRPr="007919F9">
              <w:t>в</w:t>
            </w:r>
            <w:proofErr w:type="gramEnd"/>
            <w:r w:rsidR="0052259A" w:rsidRPr="007919F9">
              <w:t xml:space="preserve"> </w:t>
            </w:r>
            <w:proofErr w:type="gramStart"/>
            <w:r w:rsidR="0052259A" w:rsidRPr="007919F9">
              <w:t>анатомическими</w:t>
            </w:r>
            <w:proofErr w:type="gramEnd"/>
            <w:r w:rsidR="0052259A" w:rsidRPr="007919F9">
              <w:t xml:space="preserve"> особенностями строения бедра и туловища пользователя, должен быть снабжен прокладками из воздухопроницаемой ткани из антиаллергенных материалов</w:t>
            </w:r>
            <w:r w:rsidR="00707898" w:rsidRPr="007919F9">
              <w:t>.</w:t>
            </w:r>
          </w:p>
        </w:tc>
        <w:tc>
          <w:tcPr>
            <w:tcW w:w="850" w:type="dxa"/>
            <w:vAlign w:val="center"/>
          </w:tcPr>
          <w:p w:rsidR="00E0170F" w:rsidRPr="007919F9" w:rsidRDefault="00E0170F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шт.</w:t>
            </w:r>
          </w:p>
        </w:tc>
        <w:tc>
          <w:tcPr>
            <w:tcW w:w="851" w:type="dxa"/>
            <w:vAlign w:val="center"/>
          </w:tcPr>
          <w:p w:rsidR="00E0170F" w:rsidRPr="007919F9" w:rsidRDefault="00EC3C0D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10</w:t>
            </w:r>
          </w:p>
        </w:tc>
      </w:tr>
      <w:tr w:rsidR="007919F9" w:rsidRPr="007919F9" w:rsidTr="007919F9">
        <w:trPr>
          <w:trHeight w:val="79"/>
        </w:trPr>
        <w:tc>
          <w:tcPr>
            <w:tcW w:w="499" w:type="dxa"/>
            <w:vAlign w:val="center"/>
          </w:tcPr>
          <w:p w:rsidR="00814835" w:rsidRPr="007919F9" w:rsidRDefault="00814835" w:rsidP="007919F9">
            <w:pPr>
              <w:widowControl w:val="0"/>
              <w:autoSpaceDE w:val="0"/>
              <w:snapToGrid w:val="0"/>
              <w:contextualSpacing/>
              <w:jc w:val="center"/>
              <w:rPr>
                <w:bCs/>
                <w:shd w:val="clear" w:color="auto" w:fill="FFFFFF"/>
              </w:rPr>
            </w:pPr>
            <w:r w:rsidRPr="007919F9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709" w:type="dxa"/>
            <w:vAlign w:val="center"/>
          </w:tcPr>
          <w:p w:rsidR="00814835" w:rsidRPr="007919F9" w:rsidRDefault="00814835" w:rsidP="007919F9">
            <w:pPr>
              <w:suppressAutoHyphens/>
              <w:rPr>
                <w:lang w:eastAsia="ar-SA"/>
              </w:rPr>
            </w:pPr>
            <w:r w:rsidRPr="007919F9">
              <w:rPr>
                <w:lang w:eastAsia="ar-SA"/>
              </w:rPr>
              <w:t>Аппарат на голеностопный сустав</w:t>
            </w:r>
          </w:p>
        </w:tc>
        <w:tc>
          <w:tcPr>
            <w:tcW w:w="5387" w:type="dxa"/>
            <w:vAlign w:val="center"/>
          </w:tcPr>
          <w:p w:rsidR="008C4E9B" w:rsidRPr="007919F9" w:rsidRDefault="008C4E9B" w:rsidP="00DB547F">
            <w:pPr>
              <w:pStyle w:val="1"/>
              <w:keepNext/>
              <w:jc w:val="both"/>
              <w:rPr>
                <w:szCs w:val="24"/>
                <w:shd w:val="clear" w:color="auto" w:fill="FBFBFB"/>
              </w:rPr>
            </w:pPr>
            <w:r w:rsidRPr="007919F9">
              <w:rPr>
                <w:szCs w:val="24"/>
              </w:rPr>
              <w:t xml:space="preserve">Аппарат на голеностопный сустав, фиксирующий, разгружающий. </w:t>
            </w:r>
            <w:proofErr w:type="gramStart"/>
            <w:r w:rsidRPr="007919F9">
              <w:rPr>
                <w:szCs w:val="24"/>
                <w:shd w:val="clear" w:color="auto" w:fill="FBFBFB"/>
              </w:rPr>
              <w:t xml:space="preserve">Аппарат на голеностопный сустав </w:t>
            </w:r>
            <w:r w:rsidR="004D1927">
              <w:rPr>
                <w:szCs w:val="24"/>
                <w:shd w:val="clear" w:color="auto" w:fill="FBFBFB"/>
              </w:rPr>
              <w:t>должен состоять из</w:t>
            </w:r>
            <w:r w:rsidRPr="007919F9">
              <w:rPr>
                <w:szCs w:val="24"/>
                <w:shd w:val="clear" w:color="auto" w:fill="FBFBFB"/>
              </w:rPr>
              <w:t xml:space="preserve"> ложемента стопы и гильзы голени, соединенными между собой гибким динамическим элементом.</w:t>
            </w:r>
            <w:proofErr w:type="gramEnd"/>
            <w:r w:rsidR="004D1927">
              <w:rPr>
                <w:szCs w:val="24"/>
                <w:shd w:val="clear" w:color="auto" w:fill="FBFBFB"/>
              </w:rPr>
              <w:t xml:space="preserve"> </w:t>
            </w:r>
            <w:r w:rsidRPr="007919F9">
              <w:rPr>
                <w:szCs w:val="24"/>
                <w:shd w:val="clear" w:color="auto" w:fill="FBFBFB"/>
              </w:rPr>
              <w:t>Фиксирующие элементы аппаратов (несущие гильзы) должны изготавливаться на основе полиэтилена низкого</w:t>
            </w:r>
            <w:r w:rsidR="004D1927">
              <w:rPr>
                <w:szCs w:val="24"/>
                <w:shd w:val="clear" w:color="auto" w:fill="FBFBFB"/>
              </w:rPr>
              <w:t xml:space="preserve"> давления толщиной от 4 до 5 мм</w:t>
            </w:r>
            <w:r w:rsidRPr="007919F9">
              <w:rPr>
                <w:szCs w:val="24"/>
                <w:shd w:val="clear" w:color="auto" w:fill="FBFBFB"/>
              </w:rPr>
              <w:t xml:space="preserve"> методом вакуумного формования с учетом индивидуальных особенностей пациента.</w:t>
            </w:r>
          </w:p>
          <w:p w:rsidR="008C4E9B" w:rsidRPr="007919F9" w:rsidRDefault="008C4E9B" w:rsidP="00DB547F">
            <w:pPr>
              <w:pStyle w:val="1"/>
              <w:keepNext/>
              <w:jc w:val="both"/>
              <w:rPr>
                <w:szCs w:val="24"/>
                <w:shd w:val="clear" w:color="auto" w:fill="FBFBFB"/>
              </w:rPr>
            </w:pPr>
            <w:r w:rsidRPr="007919F9">
              <w:rPr>
                <w:szCs w:val="24"/>
                <w:shd w:val="clear" w:color="auto" w:fill="FBFBFB"/>
              </w:rPr>
              <w:t xml:space="preserve">Вкладная гильза должна быть выполнена из </w:t>
            </w:r>
            <w:proofErr w:type="spellStart"/>
            <w:r w:rsidRPr="007919F9">
              <w:rPr>
                <w:szCs w:val="24"/>
                <w:shd w:val="clear" w:color="auto" w:fill="FBFBFB"/>
              </w:rPr>
              <w:t>пено</w:t>
            </w:r>
            <w:proofErr w:type="spellEnd"/>
            <w:r w:rsidRPr="007919F9">
              <w:rPr>
                <w:szCs w:val="24"/>
                <w:shd w:val="clear" w:color="auto" w:fill="FBFBFB"/>
              </w:rPr>
              <w:t>-материала медицинского назначения.</w:t>
            </w:r>
          </w:p>
          <w:p w:rsidR="008C4E9B" w:rsidRPr="007919F9" w:rsidRDefault="008C4E9B" w:rsidP="00DB547F">
            <w:pPr>
              <w:pStyle w:val="1"/>
              <w:keepNext/>
              <w:jc w:val="both"/>
              <w:rPr>
                <w:szCs w:val="24"/>
                <w:shd w:val="clear" w:color="auto" w:fill="FBFBFB"/>
              </w:rPr>
            </w:pPr>
            <w:r w:rsidRPr="007919F9">
              <w:rPr>
                <w:szCs w:val="24"/>
                <w:shd w:val="clear" w:color="auto" w:fill="FBFBFB"/>
              </w:rPr>
              <w:t xml:space="preserve">Голеностопные шарниры позволяют регулировать объём </w:t>
            </w:r>
            <w:proofErr w:type="spellStart"/>
            <w:r w:rsidRPr="007919F9">
              <w:rPr>
                <w:szCs w:val="24"/>
                <w:shd w:val="clear" w:color="auto" w:fill="FBFBFB"/>
              </w:rPr>
              <w:t>дорсифлексии</w:t>
            </w:r>
            <w:proofErr w:type="spellEnd"/>
            <w:r w:rsidRPr="007919F9">
              <w:rPr>
                <w:szCs w:val="24"/>
                <w:shd w:val="clear" w:color="auto" w:fill="FBFBFB"/>
              </w:rPr>
              <w:t xml:space="preserve"> и </w:t>
            </w:r>
            <w:proofErr w:type="spellStart"/>
            <w:r w:rsidRPr="007919F9">
              <w:rPr>
                <w:szCs w:val="24"/>
                <w:shd w:val="clear" w:color="auto" w:fill="FBFBFB"/>
              </w:rPr>
              <w:t>плантарофлексии</w:t>
            </w:r>
            <w:proofErr w:type="spellEnd"/>
            <w:r w:rsidRPr="007919F9">
              <w:rPr>
                <w:szCs w:val="24"/>
                <w:shd w:val="clear" w:color="auto" w:fill="FBFBFB"/>
              </w:rPr>
              <w:t xml:space="preserve">, а также иметь динамические элементы, имеющие возможность регулировки объема обратно поступательного движения во время ходьбы. Ложемент стопы должен быть изготовлен из </w:t>
            </w:r>
            <w:r w:rsidRPr="007919F9">
              <w:rPr>
                <w:szCs w:val="24"/>
                <w:shd w:val="clear" w:color="auto" w:fill="FBFBFB"/>
              </w:rPr>
              <w:lastRenderedPageBreak/>
              <w:t xml:space="preserve">полиэтилена низкого давления толщиной от 4 до 5 мм методом вакуумного формования, а также выполнением компенсации укорочения (при наличии) пробковым накатом. Конструкция ложемента стопы позволяет использовать стандартную обувь. </w:t>
            </w:r>
            <w:r w:rsidRPr="007919F9">
              <w:rPr>
                <w:szCs w:val="24"/>
              </w:rPr>
              <w:t>Крепление лентой «</w:t>
            </w:r>
            <w:proofErr w:type="spellStart"/>
            <w:r w:rsidRPr="007919F9">
              <w:rPr>
                <w:szCs w:val="24"/>
              </w:rPr>
              <w:t>Велкро</w:t>
            </w:r>
            <w:proofErr w:type="spellEnd"/>
            <w:r w:rsidRPr="007919F9">
              <w:rPr>
                <w:szCs w:val="24"/>
              </w:rPr>
              <w:t xml:space="preserve">» </w:t>
            </w:r>
            <w:r w:rsidRPr="007919F9">
              <w:rPr>
                <w:szCs w:val="24"/>
                <w:shd w:val="clear" w:color="auto" w:fill="FBFBFB"/>
              </w:rPr>
              <w:t>или же шнуровкой по показаниям.</w:t>
            </w:r>
          </w:p>
          <w:p w:rsidR="00814835" w:rsidRPr="007919F9" w:rsidRDefault="008C4E9B" w:rsidP="00DB547F">
            <w:pPr>
              <w:pStyle w:val="1"/>
              <w:keepNext/>
              <w:jc w:val="both"/>
              <w:rPr>
                <w:sz w:val="20"/>
                <w:szCs w:val="20"/>
              </w:rPr>
            </w:pPr>
            <w:r w:rsidRPr="007919F9">
              <w:rPr>
                <w:szCs w:val="24"/>
                <w:shd w:val="clear" w:color="auto" w:fill="FBFBFB"/>
              </w:rPr>
              <w:t>Разрезы гильз и построение конструкции обеспечивает комфортное одевание, фиксацию и коррекцию, и компенсацию отдельных сегментов нижних конечностей во время ходьбы.</w:t>
            </w:r>
          </w:p>
        </w:tc>
        <w:tc>
          <w:tcPr>
            <w:tcW w:w="850" w:type="dxa"/>
            <w:vAlign w:val="center"/>
          </w:tcPr>
          <w:p w:rsidR="00814835" w:rsidRPr="007919F9" w:rsidRDefault="00814835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lastRenderedPageBreak/>
              <w:t>шт.</w:t>
            </w:r>
          </w:p>
        </w:tc>
        <w:tc>
          <w:tcPr>
            <w:tcW w:w="851" w:type="dxa"/>
            <w:vAlign w:val="center"/>
          </w:tcPr>
          <w:p w:rsidR="00814835" w:rsidRPr="007919F9" w:rsidRDefault="00EC3C0D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12</w:t>
            </w:r>
          </w:p>
        </w:tc>
      </w:tr>
      <w:tr w:rsidR="007919F9" w:rsidRPr="007919F9" w:rsidTr="007919F9">
        <w:trPr>
          <w:trHeight w:val="79"/>
        </w:trPr>
        <w:tc>
          <w:tcPr>
            <w:tcW w:w="499" w:type="dxa"/>
            <w:vAlign w:val="center"/>
          </w:tcPr>
          <w:p w:rsidR="00814835" w:rsidRPr="007919F9" w:rsidRDefault="00814835" w:rsidP="007919F9">
            <w:pPr>
              <w:widowControl w:val="0"/>
              <w:autoSpaceDE w:val="0"/>
              <w:snapToGrid w:val="0"/>
              <w:contextualSpacing/>
              <w:jc w:val="center"/>
              <w:rPr>
                <w:bCs/>
                <w:shd w:val="clear" w:color="auto" w:fill="FFFFFF"/>
              </w:rPr>
            </w:pPr>
            <w:r w:rsidRPr="007919F9">
              <w:rPr>
                <w:bCs/>
                <w:shd w:val="clear" w:color="auto" w:fill="FFFFFF"/>
              </w:rPr>
              <w:lastRenderedPageBreak/>
              <w:t>3</w:t>
            </w:r>
          </w:p>
        </w:tc>
        <w:tc>
          <w:tcPr>
            <w:tcW w:w="1709" w:type="dxa"/>
            <w:vAlign w:val="center"/>
          </w:tcPr>
          <w:p w:rsidR="00814835" w:rsidRPr="007919F9" w:rsidRDefault="00814835" w:rsidP="007919F9">
            <w:pPr>
              <w:suppressAutoHyphens/>
              <w:rPr>
                <w:lang w:eastAsia="ar-SA"/>
              </w:rPr>
            </w:pPr>
            <w:r w:rsidRPr="007919F9">
              <w:rPr>
                <w:lang w:eastAsia="ar-SA"/>
              </w:rPr>
              <w:t>Аппарат на тазобедренный сустав</w:t>
            </w:r>
          </w:p>
        </w:tc>
        <w:tc>
          <w:tcPr>
            <w:tcW w:w="5387" w:type="dxa"/>
            <w:vAlign w:val="center"/>
          </w:tcPr>
          <w:p w:rsidR="00814835" w:rsidRPr="007919F9" w:rsidRDefault="00F2390D" w:rsidP="00DB547F">
            <w:pPr>
              <w:pStyle w:val="Standard"/>
              <w:autoSpaceDE w:val="0"/>
              <w:jc w:val="both"/>
              <w:rPr>
                <w:rFonts w:eastAsia="Times New Roman" w:cs="Times New Roman"/>
              </w:rPr>
            </w:pPr>
            <w:r w:rsidRPr="007919F9">
              <w:t xml:space="preserve">Приемная гильза бедра и корсет на тазовую область туловища индивидуальные, изготовленные по </w:t>
            </w:r>
            <w:r w:rsidRPr="007919F9">
              <w:rPr>
                <w:rFonts w:eastAsia="Tahoma"/>
              </w:rPr>
              <w:t xml:space="preserve">индивидуальному слепку с конечности инвалида. Гильзы должны быть выполнены из </w:t>
            </w:r>
            <w:r w:rsidRPr="007919F9">
              <w:t xml:space="preserve">полиэтилена высокого давления, вкладной смягчающий вкладыш из </w:t>
            </w:r>
            <w:r w:rsidRPr="007919F9">
              <w:rPr>
                <w:rFonts w:eastAsia="Tahoma"/>
              </w:rPr>
              <w:t>вспененного полиэтилена. Крепление на пациенте аппарата с помощью липкой ленты. Шины с шарниром в тазобедренном суставе.</w:t>
            </w:r>
            <w:r w:rsidR="008C4E9B" w:rsidRPr="007919F9">
              <w:rPr>
                <w:b/>
                <w:sz w:val="20"/>
                <w:szCs w:val="20"/>
              </w:rPr>
              <w:t xml:space="preserve"> </w:t>
            </w:r>
            <w:r w:rsidR="008C4E9B" w:rsidRPr="007919F9">
              <w:t xml:space="preserve"> Аппарат предотвращает приведение бедер и их максимально возможное отведение, дает возможность для больного самостоятельно передвигаться и приближать ходьбу к физи</w:t>
            </w:r>
            <w:r w:rsidR="00ED3F1C" w:rsidRPr="007919F9">
              <w:t>ологической. Основное действие а</w:t>
            </w:r>
            <w:r w:rsidR="008C4E9B" w:rsidRPr="007919F9">
              <w:t xml:space="preserve">ппарата заключается в том, чтобы устранять </w:t>
            </w:r>
            <w:proofErr w:type="spellStart"/>
            <w:r w:rsidR="008C4E9B" w:rsidRPr="007919F9">
              <w:t>гипертонус</w:t>
            </w:r>
            <w:proofErr w:type="spellEnd"/>
            <w:r w:rsidR="008C4E9B" w:rsidRPr="007919F9">
              <w:t xml:space="preserve"> приводящих мышц бедра, благодаря чему становится возможным отведение бедер, выпрямление туловища, разгибание в коленных суставах. Аппарат должен обеспечивать стабильность тазобедренных суставов, нормализовать распределение давления между головкой бедра и </w:t>
            </w:r>
            <w:proofErr w:type="spellStart"/>
            <w:r w:rsidR="008C4E9B" w:rsidRPr="007919F9">
              <w:t>ацетабулярной</w:t>
            </w:r>
            <w:proofErr w:type="spellEnd"/>
            <w:r w:rsidR="008C4E9B" w:rsidRPr="007919F9">
              <w:t xml:space="preserve"> впадиной и уменьшать вероятность дислокации бедра в 2 раза.</w:t>
            </w:r>
          </w:p>
        </w:tc>
        <w:tc>
          <w:tcPr>
            <w:tcW w:w="850" w:type="dxa"/>
            <w:vAlign w:val="center"/>
          </w:tcPr>
          <w:p w:rsidR="00814835" w:rsidRPr="007919F9" w:rsidRDefault="00814835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шт.</w:t>
            </w:r>
          </w:p>
        </w:tc>
        <w:tc>
          <w:tcPr>
            <w:tcW w:w="851" w:type="dxa"/>
            <w:vAlign w:val="center"/>
          </w:tcPr>
          <w:p w:rsidR="00814835" w:rsidRPr="007919F9" w:rsidRDefault="00EC3C0D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8</w:t>
            </w:r>
          </w:p>
        </w:tc>
      </w:tr>
      <w:tr w:rsidR="007919F9" w:rsidRPr="007919F9" w:rsidTr="007919F9">
        <w:trPr>
          <w:trHeight w:val="66"/>
        </w:trPr>
        <w:tc>
          <w:tcPr>
            <w:tcW w:w="7595" w:type="dxa"/>
            <w:gridSpan w:val="3"/>
            <w:vAlign w:val="center"/>
          </w:tcPr>
          <w:p w:rsidR="00E0170F" w:rsidRPr="007919F9" w:rsidRDefault="00E0170F" w:rsidP="007919F9">
            <w:pPr>
              <w:suppressAutoHyphens/>
              <w:jc w:val="center"/>
              <w:rPr>
                <w:lang w:eastAsia="ar-SA"/>
              </w:rPr>
            </w:pPr>
            <w:r w:rsidRPr="007919F9">
              <w:rPr>
                <w:lang w:eastAsia="ar-SA"/>
              </w:rPr>
              <w:t>Итого:</w:t>
            </w:r>
          </w:p>
        </w:tc>
        <w:tc>
          <w:tcPr>
            <w:tcW w:w="850" w:type="dxa"/>
            <w:vAlign w:val="center"/>
          </w:tcPr>
          <w:p w:rsidR="00E0170F" w:rsidRPr="007919F9" w:rsidRDefault="00E0170F" w:rsidP="007919F9">
            <w:pPr>
              <w:jc w:val="center"/>
              <w:rPr>
                <w:bCs/>
              </w:rPr>
            </w:pPr>
          </w:p>
        </w:tc>
        <w:tc>
          <w:tcPr>
            <w:tcW w:w="851" w:type="dxa"/>
            <w:vAlign w:val="center"/>
          </w:tcPr>
          <w:p w:rsidR="00E0170F" w:rsidRPr="007919F9" w:rsidRDefault="00EC3C0D" w:rsidP="007919F9">
            <w:pPr>
              <w:jc w:val="center"/>
              <w:rPr>
                <w:bCs/>
              </w:rPr>
            </w:pPr>
            <w:r w:rsidRPr="007919F9">
              <w:rPr>
                <w:bCs/>
              </w:rPr>
              <w:t>30</w:t>
            </w:r>
          </w:p>
        </w:tc>
      </w:tr>
    </w:tbl>
    <w:p w:rsidR="008F790A" w:rsidRPr="00E37928" w:rsidRDefault="008F790A" w:rsidP="008F790A">
      <w:pPr>
        <w:pStyle w:val="Standard"/>
        <w:jc w:val="center"/>
        <w:rPr>
          <w:b/>
        </w:rPr>
      </w:pPr>
    </w:p>
    <w:p w:rsidR="008F790A" w:rsidRPr="00E37928" w:rsidRDefault="008F790A" w:rsidP="00DD3553">
      <w:pPr>
        <w:pStyle w:val="Standard"/>
        <w:ind w:firstLine="709"/>
        <w:jc w:val="both"/>
        <w:rPr>
          <w:b/>
        </w:rPr>
      </w:pPr>
      <w:r w:rsidRPr="00E37928">
        <w:rPr>
          <w:b/>
        </w:rPr>
        <w:t>Требования к техническим характеристикам изделия</w:t>
      </w:r>
      <w:r w:rsidR="00CB1B67">
        <w:rPr>
          <w:b/>
        </w:rPr>
        <w:t>.</w:t>
      </w:r>
    </w:p>
    <w:p w:rsidR="008F790A" w:rsidRPr="00E37928" w:rsidRDefault="008F790A" w:rsidP="003F0D5F">
      <w:pPr>
        <w:pStyle w:val="Standard"/>
        <w:ind w:firstLine="709"/>
        <w:jc w:val="both"/>
      </w:pPr>
      <w:r w:rsidRPr="00E37928">
        <w:t xml:space="preserve">Выполнение работ по </w:t>
      </w:r>
      <w:proofErr w:type="spellStart"/>
      <w:r w:rsidRPr="00E37928">
        <w:t>ортезированию</w:t>
      </w:r>
      <w:proofErr w:type="spellEnd"/>
      <w:r w:rsidRPr="00E37928">
        <w:t xml:space="preserve"> направлено на изготовление протезно-ортопедических изделий, к которым относятся </w:t>
      </w:r>
      <w:r w:rsidR="004E748B">
        <w:rPr>
          <w:rFonts w:eastAsia="Lucida Sans Unicode" w:cs="Times New Roman"/>
          <w:color w:val="000000"/>
          <w:lang w:eastAsia="en-US" w:bidi="en-US"/>
        </w:rPr>
        <w:t>аппараты на нижние конечности</w:t>
      </w:r>
      <w:r w:rsidR="00FA213B">
        <w:rPr>
          <w:rFonts w:eastAsia="Lucida Sans Unicode" w:cs="Times New Roman"/>
          <w:color w:val="000000"/>
          <w:lang w:eastAsia="en-US" w:bidi="en-US"/>
        </w:rPr>
        <w:t>,</w:t>
      </w:r>
      <w:r w:rsidR="004E748B">
        <w:rPr>
          <w:rFonts w:eastAsia="Lucida Sans Unicode" w:cs="Times New Roman"/>
          <w:color w:val="000000"/>
          <w:lang w:eastAsia="en-US" w:bidi="en-US"/>
        </w:rPr>
        <w:t xml:space="preserve"> </w:t>
      </w:r>
      <w:r w:rsidRPr="00E37928">
        <w:t>для обеспечения механической фиксации.</w:t>
      </w:r>
    </w:p>
    <w:p w:rsidR="00130382" w:rsidRPr="007363B7" w:rsidRDefault="008F790A" w:rsidP="003F0D5F">
      <w:pPr>
        <w:pStyle w:val="Standard"/>
        <w:ind w:firstLine="709"/>
        <w:jc w:val="both"/>
        <w:rPr>
          <w:lang w:eastAsia="ar-SA"/>
        </w:rPr>
      </w:pPr>
      <w:r w:rsidRPr="00E37928">
        <w:rPr>
          <w:lang w:eastAsia="ar-SA"/>
        </w:rPr>
        <w:t>Выполняемые работы</w:t>
      </w:r>
      <w:r w:rsidR="00F92A87">
        <w:rPr>
          <w:lang w:eastAsia="ar-SA"/>
        </w:rPr>
        <w:t xml:space="preserve"> должны включать</w:t>
      </w:r>
      <w:r w:rsidRPr="00E37928">
        <w:rPr>
          <w:lang w:eastAsia="ar-SA"/>
        </w:rPr>
        <w:t xml:space="preserve"> комплекс медицинских, технических и социальных мероприятий, проводимых с инвалидами, имеющих нарушения травматологического, и иного характера заболеваний, а также других дефектов организма и обеспечивают компенсацию неустранимых анатомических дефектов и деформаций.</w:t>
      </w:r>
    </w:p>
    <w:p w:rsidR="008F790A" w:rsidRPr="00295D8F" w:rsidRDefault="008F790A" w:rsidP="00DD3553">
      <w:pPr>
        <w:pStyle w:val="Standard"/>
        <w:ind w:firstLine="709"/>
        <w:jc w:val="both"/>
        <w:rPr>
          <w:b/>
          <w:color w:val="000000"/>
          <w:lang w:eastAsia="en-US" w:bidi="en-US"/>
        </w:rPr>
      </w:pPr>
      <w:r w:rsidRPr="00295D8F">
        <w:rPr>
          <w:rFonts w:eastAsia="Lucida Sans Unicode"/>
          <w:b/>
          <w:color w:val="000000"/>
          <w:lang w:eastAsia="en-US" w:bidi="en-US"/>
        </w:rPr>
        <w:t>Требования к безопасности работ</w:t>
      </w:r>
      <w:r w:rsidR="00CB1B67">
        <w:rPr>
          <w:rFonts w:eastAsia="Lucida Sans Unicode"/>
          <w:b/>
          <w:color w:val="000000"/>
          <w:lang w:eastAsia="en-US" w:bidi="en-US"/>
        </w:rPr>
        <w:t>.</w:t>
      </w:r>
    </w:p>
    <w:p w:rsidR="008F790A" w:rsidRDefault="008F790A" w:rsidP="003F0D5F">
      <w:pPr>
        <w:pStyle w:val="Standard"/>
        <w:ind w:firstLine="709"/>
        <w:jc w:val="both"/>
        <w:rPr>
          <w:rFonts w:eastAsia="Lucida Sans Unicode"/>
          <w:b/>
          <w:color w:val="000000"/>
          <w:lang w:eastAsia="en-US" w:bidi="en-US"/>
        </w:rPr>
      </w:pPr>
      <w:r w:rsidRPr="00295D8F">
        <w:rPr>
          <w:rFonts w:eastAsia="Lucida Sans Unicode"/>
          <w:color w:val="000000"/>
          <w:lang w:eastAsia="en-US" w:bidi="en-US"/>
        </w:rPr>
        <w:t xml:space="preserve">Материалы, узлы, полуфабрикаты для изготовления протезно-ортопедических изделий </w:t>
      </w:r>
      <w:r w:rsidR="00F92A87" w:rsidRPr="00295D8F">
        <w:rPr>
          <w:rFonts w:eastAsia="Lucida Sans Unicode"/>
          <w:color w:val="000000"/>
          <w:lang w:eastAsia="en-US" w:bidi="en-US"/>
        </w:rPr>
        <w:t xml:space="preserve">должны соответствовать </w:t>
      </w:r>
      <w:r w:rsidRPr="00295D8F">
        <w:rPr>
          <w:rFonts w:eastAsia="Lucida Sans Unicode"/>
          <w:color w:val="000000"/>
          <w:lang w:eastAsia="en-US" w:bidi="en-US"/>
        </w:rPr>
        <w:t>требованиям действующих стандартов и технических условий.</w:t>
      </w:r>
      <w:r w:rsidR="00F92A87">
        <w:rPr>
          <w:rFonts w:eastAsia="Lucida Sans Unicode"/>
          <w:b/>
          <w:color w:val="000000"/>
          <w:lang w:eastAsia="en-US" w:bidi="en-US"/>
        </w:rPr>
        <w:t xml:space="preserve">    </w:t>
      </w:r>
    </w:p>
    <w:p w:rsidR="009E7076" w:rsidRPr="009E7076" w:rsidRDefault="00777467" w:rsidP="009E7076">
      <w:pPr>
        <w:ind w:firstLine="709"/>
        <w:jc w:val="both"/>
        <w:rPr>
          <w:rFonts w:eastAsia="Lucida Sans Unicode"/>
          <w:color w:val="000000"/>
          <w:lang w:bidi="en-US"/>
        </w:rPr>
      </w:pPr>
      <w:r w:rsidRPr="00A31EF7">
        <w:rPr>
          <w:rFonts w:eastAsia="Lucida Sans Unicode"/>
          <w:color w:val="000000"/>
          <w:lang w:bidi="en-US"/>
        </w:rPr>
        <w:t xml:space="preserve">Изготовленные аппараты на нижние конечности должны соответствовать </w:t>
      </w:r>
      <w:r w:rsidR="00A31EF7">
        <w:rPr>
          <w:rFonts w:eastAsia="Lucida Sans Unicode"/>
          <w:color w:val="000000"/>
          <w:lang w:bidi="en-US"/>
        </w:rPr>
        <w:t>«</w:t>
      </w:r>
      <w:r w:rsidR="00A31EF7" w:rsidRPr="00A31EF7">
        <w:rPr>
          <w:rFonts w:eastAsia="Lucida Sans Unicode"/>
          <w:color w:val="000000"/>
          <w:lang w:bidi="en-US"/>
        </w:rPr>
        <w:t xml:space="preserve">ГОСТ ISO 10993-5-2011.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="00A31EF7" w:rsidRPr="00A31EF7">
        <w:rPr>
          <w:rFonts w:eastAsia="Lucida Sans Unicode"/>
          <w:color w:val="000000"/>
          <w:lang w:bidi="en-US"/>
        </w:rPr>
        <w:lastRenderedPageBreak/>
        <w:t>цитотоксичность</w:t>
      </w:r>
      <w:proofErr w:type="spellEnd"/>
      <w:r w:rsidR="00A31EF7" w:rsidRPr="00A31EF7">
        <w:rPr>
          <w:rFonts w:eastAsia="Lucida Sans Unicode"/>
          <w:color w:val="000000"/>
          <w:lang w:bidi="en-US"/>
        </w:rPr>
        <w:t xml:space="preserve">: методы </w:t>
      </w:r>
      <w:proofErr w:type="spellStart"/>
      <w:r w:rsidR="00A31EF7" w:rsidRPr="00A31EF7">
        <w:rPr>
          <w:rFonts w:eastAsia="Lucida Sans Unicode"/>
          <w:color w:val="000000"/>
          <w:lang w:bidi="en-US"/>
        </w:rPr>
        <w:t>in</w:t>
      </w:r>
      <w:proofErr w:type="spellEnd"/>
      <w:r w:rsidR="00A31EF7" w:rsidRPr="00A31EF7">
        <w:rPr>
          <w:rFonts w:eastAsia="Lucida Sans Unicode"/>
          <w:color w:val="000000"/>
          <w:lang w:bidi="en-US"/>
        </w:rPr>
        <w:t xml:space="preserve"> </w:t>
      </w:r>
      <w:proofErr w:type="spellStart"/>
      <w:r w:rsidR="00A31EF7" w:rsidRPr="00A31EF7">
        <w:rPr>
          <w:rFonts w:eastAsia="Lucida Sans Unicode"/>
          <w:color w:val="000000"/>
          <w:lang w:bidi="en-US"/>
        </w:rPr>
        <w:t>vitro</w:t>
      </w:r>
      <w:proofErr w:type="spellEnd"/>
      <w:r w:rsidR="009E7076" w:rsidRPr="00A31EF7">
        <w:rPr>
          <w:rFonts w:eastAsia="Lucida Sans Unicode"/>
          <w:color w:val="000000"/>
          <w:lang w:bidi="en-US"/>
        </w:rPr>
        <w:t xml:space="preserve">»; </w:t>
      </w:r>
      <w:r w:rsidR="00A31EF7">
        <w:rPr>
          <w:rFonts w:eastAsia="Lucida Sans Unicode"/>
          <w:color w:val="000000"/>
          <w:lang w:bidi="en-US"/>
        </w:rPr>
        <w:t>«</w:t>
      </w:r>
      <w:r w:rsidR="00A31EF7" w:rsidRPr="00A31EF7">
        <w:rPr>
          <w:rFonts w:eastAsia="Lucida Sans Unicode"/>
          <w:color w:val="000000"/>
          <w:lang w:bidi="en-US"/>
        </w:rPr>
        <w:t>ГОСТ ISO 10993-10-2011. 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</w:t>
      </w:r>
      <w:r w:rsidR="009E7076" w:rsidRPr="00A31EF7">
        <w:rPr>
          <w:rFonts w:eastAsia="Lucida Sans Unicode"/>
          <w:color w:val="000000"/>
          <w:lang w:bidi="en-US"/>
        </w:rPr>
        <w:t xml:space="preserve">» (с поправкой); </w:t>
      </w:r>
      <w:r w:rsidR="00A31EF7">
        <w:rPr>
          <w:rFonts w:eastAsia="Lucida Sans Unicode"/>
          <w:color w:val="000000"/>
          <w:lang w:bidi="en-US"/>
        </w:rPr>
        <w:t>«</w:t>
      </w:r>
      <w:r w:rsidR="00A31EF7" w:rsidRPr="00A31EF7">
        <w:rPr>
          <w:rFonts w:eastAsia="Lucida Sans Unicode"/>
          <w:color w:val="000000"/>
          <w:lang w:bidi="en-US"/>
        </w:rPr>
        <w:t>ГОСТ ISO 10993-11-2021. Межгосударственный стандарт. Изделия медицинские. Оценка биологического действия медицинских изделий. Часть 11. Исследования общетоксического действия</w:t>
      </w:r>
      <w:r w:rsidR="009E7076" w:rsidRPr="00A31EF7">
        <w:rPr>
          <w:rFonts w:eastAsia="Lucida Sans Unicode"/>
          <w:color w:val="000000"/>
          <w:lang w:bidi="en-US"/>
        </w:rPr>
        <w:t xml:space="preserve">»; </w:t>
      </w:r>
      <w:r w:rsidR="00A31EF7">
        <w:rPr>
          <w:rFonts w:eastAsia="Lucida Sans Unicode"/>
          <w:color w:val="000000"/>
          <w:lang w:bidi="en-US"/>
        </w:rPr>
        <w:t>«</w:t>
      </w:r>
      <w:r w:rsidR="00A31EF7" w:rsidRPr="00A31EF7">
        <w:rPr>
          <w:rFonts w:eastAsia="Lucida Sans Unicode"/>
          <w:color w:val="000000"/>
          <w:lang w:bidi="en-US"/>
        </w:rPr>
        <w:t xml:space="preserve">ГОСТ </w:t>
      </w:r>
      <w:proofErr w:type="gramStart"/>
      <w:r w:rsidR="00A31EF7" w:rsidRPr="00A31EF7">
        <w:rPr>
          <w:rFonts w:eastAsia="Lucida Sans Unicode"/>
          <w:color w:val="000000"/>
          <w:lang w:bidi="en-US"/>
        </w:rPr>
        <w:t>Р</w:t>
      </w:r>
      <w:proofErr w:type="gramEnd"/>
      <w:r w:rsidR="00A31EF7" w:rsidRPr="00A31EF7">
        <w:rPr>
          <w:rFonts w:eastAsia="Lucida Sans Unicode"/>
          <w:color w:val="000000"/>
          <w:lang w:bidi="en-US"/>
        </w:rPr>
        <w:t xml:space="preserve"> 52770-2016. 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</w:r>
      <w:r w:rsidR="00A31EF7">
        <w:rPr>
          <w:rFonts w:eastAsia="Lucida Sans Unicode"/>
          <w:color w:val="000000"/>
          <w:lang w:bidi="en-US"/>
        </w:rPr>
        <w:t>»</w:t>
      </w:r>
      <w:r w:rsidR="009E7076" w:rsidRPr="00A31EF7">
        <w:rPr>
          <w:rFonts w:eastAsia="Lucida Sans Unicode"/>
          <w:color w:val="000000"/>
          <w:lang w:bidi="en-US"/>
        </w:rPr>
        <w:t xml:space="preserve">; </w:t>
      </w:r>
      <w:r w:rsidR="00A31EF7">
        <w:rPr>
          <w:rFonts w:eastAsia="Lucida Sans Unicode"/>
          <w:color w:val="000000"/>
          <w:lang w:bidi="en-US"/>
        </w:rPr>
        <w:t>«</w:t>
      </w:r>
      <w:r w:rsidR="00A31EF7" w:rsidRPr="00A31EF7">
        <w:rPr>
          <w:rFonts w:eastAsia="Lucida Sans Unicode"/>
          <w:color w:val="000000"/>
          <w:lang w:bidi="en-US"/>
        </w:rPr>
        <w:t xml:space="preserve">ГОСТ </w:t>
      </w:r>
      <w:proofErr w:type="gramStart"/>
      <w:r w:rsidR="00A31EF7" w:rsidRPr="00A31EF7">
        <w:rPr>
          <w:rFonts w:eastAsia="Lucida Sans Unicode"/>
          <w:color w:val="000000"/>
          <w:lang w:bidi="en-US"/>
        </w:rPr>
        <w:t>Р</w:t>
      </w:r>
      <w:proofErr w:type="gramEnd"/>
      <w:r w:rsidR="00A31EF7" w:rsidRPr="00A31EF7">
        <w:rPr>
          <w:rFonts w:eastAsia="Lucida Sans Unicode"/>
          <w:color w:val="000000"/>
          <w:lang w:bidi="en-US"/>
        </w:rPr>
        <w:t xml:space="preserve"> ИСО 22523-2007. Национальный стандарт Российской Федерации. Протезы конечностей и </w:t>
      </w:r>
      <w:proofErr w:type="spellStart"/>
      <w:r w:rsidR="00A31EF7" w:rsidRPr="00A31EF7">
        <w:rPr>
          <w:rFonts w:eastAsia="Lucida Sans Unicode"/>
          <w:color w:val="000000"/>
          <w:lang w:bidi="en-US"/>
        </w:rPr>
        <w:t>ортезы</w:t>
      </w:r>
      <w:proofErr w:type="spellEnd"/>
      <w:r w:rsidR="00A31EF7" w:rsidRPr="00A31EF7">
        <w:rPr>
          <w:rFonts w:eastAsia="Lucida Sans Unicode"/>
          <w:color w:val="000000"/>
          <w:lang w:bidi="en-US"/>
        </w:rPr>
        <w:t xml:space="preserve"> наружные. Требования и методы испытаний</w:t>
      </w:r>
      <w:r w:rsidR="00A31EF7">
        <w:rPr>
          <w:rFonts w:eastAsia="Lucida Sans Unicode"/>
          <w:color w:val="000000"/>
          <w:lang w:bidi="en-US"/>
        </w:rPr>
        <w:t>»</w:t>
      </w:r>
      <w:r w:rsidR="009E7076" w:rsidRPr="00A31EF7">
        <w:rPr>
          <w:rFonts w:eastAsia="Lucida Sans Unicode"/>
          <w:color w:val="000000"/>
          <w:lang w:bidi="en-US"/>
        </w:rPr>
        <w:t>.</w:t>
      </w:r>
    </w:p>
    <w:p w:rsidR="008F790A" w:rsidRPr="00CB1B67" w:rsidRDefault="008F790A" w:rsidP="003F0D5F">
      <w:pPr>
        <w:pStyle w:val="Textbody"/>
        <w:spacing w:after="0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lang w:eastAsia="en-US" w:bidi="en-US"/>
        </w:rPr>
      </w:pPr>
      <w:r w:rsidRPr="00CB1B67">
        <w:rPr>
          <w:rFonts w:ascii="Times New Roman" w:eastAsia="Lucida Sans Unicode" w:hAnsi="Times New Roman"/>
          <w:b/>
          <w:color w:val="000000"/>
          <w:lang w:eastAsia="en-US" w:bidi="en-US"/>
        </w:rPr>
        <w:t xml:space="preserve">Требования </w:t>
      </w:r>
      <w:r w:rsidRPr="00CB1B67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к гарантии качества (гарантийным обязательствам) выполнения работ, а также требования к гарантийному сроку и (или) объему предоставления гарантий их качества, к гарантийному обслуживанию выполнения работ</w:t>
      </w:r>
      <w:r w:rsidR="00CB1B67">
        <w:rPr>
          <w:rFonts w:ascii="Times New Roman" w:eastAsia="Lucida Sans Unicode" w:hAnsi="Times New Roman" w:cs="Times New Roman"/>
          <w:b/>
          <w:color w:val="000000"/>
          <w:lang w:eastAsia="en-US" w:bidi="en-US"/>
        </w:rPr>
        <w:t>.</w:t>
      </w:r>
    </w:p>
    <w:p w:rsidR="008F790A" w:rsidRPr="00CB1B67" w:rsidRDefault="008F790A" w:rsidP="003F0D5F">
      <w:pPr>
        <w:pStyle w:val="Standard"/>
        <w:ind w:firstLine="708"/>
        <w:jc w:val="both"/>
        <w:rPr>
          <w:rFonts w:cs="Times New Roman"/>
        </w:rPr>
      </w:pPr>
      <w:r w:rsidRPr="00CB1B67">
        <w:rPr>
          <w:rFonts w:eastAsia="Lucida Sans Unicode"/>
          <w:color w:val="000000"/>
          <w:lang w:eastAsia="en-US" w:bidi="en-US"/>
        </w:rPr>
        <w:t xml:space="preserve">Исполнитель гарантирует, что результаты </w:t>
      </w:r>
      <w:r w:rsidR="00CB1B67" w:rsidRPr="00CB1B67">
        <w:rPr>
          <w:rFonts w:eastAsia="Lucida Sans Unicode"/>
          <w:color w:val="000000"/>
          <w:lang w:eastAsia="en-US" w:bidi="en-US"/>
        </w:rPr>
        <w:t>выполненных работ по изготовлению аппаратов на нижние конечности</w:t>
      </w:r>
      <w:r w:rsidRPr="00CB1B67">
        <w:rPr>
          <w:rFonts w:eastAsia="Lucida Sans Unicode"/>
          <w:color w:val="000000"/>
          <w:lang w:eastAsia="en-US" w:bidi="en-US"/>
        </w:rPr>
        <w:t xml:space="preserve">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 эксплуатации</w:t>
      </w:r>
      <w:r w:rsidR="002E497D">
        <w:rPr>
          <w:rFonts w:eastAsia="Lucida Sans Unicode"/>
          <w:color w:val="000000"/>
          <w:lang w:eastAsia="en-US" w:bidi="en-US"/>
        </w:rPr>
        <w:t>.</w:t>
      </w:r>
      <w:r w:rsidRPr="00CB1B67">
        <w:rPr>
          <w:rFonts w:cs="Times New Roman"/>
        </w:rPr>
        <w:t xml:space="preserve">   </w:t>
      </w:r>
    </w:p>
    <w:p w:rsidR="00E37928" w:rsidRDefault="00F92A87" w:rsidP="003F0D5F">
      <w:pPr>
        <w:ind w:firstLine="709"/>
        <w:jc w:val="both"/>
        <w:rPr>
          <w:rFonts w:eastAsia="Lucida Sans Unicode"/>
          <w:color w:val="000000"/>
          <w:lang w:bidi="en-US"/>
        </w:rPr>
      </w:pPr>
      <w:r w:rsidRPr="008E397F">
        <w:rPr>
          <w:rFonts w:eastAsia="Lucida Sans Unicode"/>
          <w:color w:val="000000"/>
          <w:lang w:bidi="en-US"/>
        </w:rPr>
        <w:t xml:space="preserve">Гарантийный срок на аппараты нижних конечностей 24 месяцев со дня </w:t>
      </w:r>
      <w:r w:rsidR="00A31EF7">
        <w:rPr>
          <w:rFonts w:eastAsia="Lucida Sans Unicode"/>
          <w:color w:val="000000"/>
          <w:lang w:bidi="en-US"/>
        </w:rPr>
        <w:t xml:space="preserve">подписания </w:t>
      </w:r>
      <w:r w:rsidR="00D91D6B">
        <w:rPr>
          <w:rFonts w:eastAsia="Lucida Sans Unicode"/>
          <w:color w:val="000000"/>
          <w:lang w:bidi="en-US"/>
        </w:rPr>
        <w:t xml:space="preserve">Заказчиком </w:t>
      </w:r>
      <w:r w:rsidR="00A31EF7">
        <w:rPr>
          <w:rFonts w:eastAsia="Lucida Sans Unicode"/>
          <w:color w:val="000000"/>
          <w:lang w:bidi="en-US"/>
        </w:rPr>
        <w:t>документа о приемке</w:t>
      </w:r>
      <w:r w:rsidRPr="008E397F">
        <w:rPr>
          <w:rFonts w:eastAsia="Lucida Sans Unicode"/>
          <w:color w:val="000000"/>
          <w:lang w:bidi="en-US"/>
        </w:rPr>
        <w:t xml:space="preserve">. </w:t>
      </w:r>
    </w:p>
    <w:p w:rsidR="00CB1B67" w:rsidRDefault="009A21BE" w:rsidP="003F0D5F">
      <w:pPr>
        <w:shd w:val="clear" w:color="auto" w:fill="FFFFFF"/>
        <w:tabs>
          <w:tab w:val="left" w:pos="0"/>
          <w:tab w:val="left" w:pos="7469"/>
        </w:tabs>
        <w:autoSpaceDE w:val="0"/>
        <w:autoSpaceDN w:val="0"/>
        <w:adjustRightInd w:val="0"/>
        <w:ind w:firstLine="709"/>
        <w:jc w:val="both"/>
        <w:rPr>
          <w:b/>
          <w:color w:val="000000"/>
          <w:lang w:bidi="en-US"/>
        </w:rPr>
      </w:pPr>
      <w:r w:rsidRPr="00BC232A">
        <w:rPr>
          <w:b/>
        </w:rPr>
        <w:t>Место выполнения работ</w:t>
      </w:r>
      <w:r w:rsidR="005A65B7" w:rsidRPr="00BC232A">
        <w:rPr>
          <w:b/>
        </w:rPr>
        <w:t>.</w:t>
      </w:r>
      <w:r w:rsidRPr="00BC232A">
        <w:rPr>
          <w:b/>
          <w:color w:val="000000"/>
          <w:lang w:bidi="en-US"/>
        </w:rPr>
        <w:t xml:space="preserve"> </w:t>
      </w:r>
    </w:p>
    <w:p w:rsidR="002E497D" w:rsidRDefault="002E497D" w:rsidP="003F0D5F">
      <w:pPr>
        <w:ind w:firstLine="709"/>
        <w:contextualSpacing/>
        <w:jc w:val="both"/>
        <w:rPr>
          <w:rFonts w:eastAsia="Lucida Sans Unicode"/>
          <w:kern w:val="1"/>
          <w:lang w:eastAsia="hi-IN" w:bidi="hi-IN"/>
        </w:rPr>
      </w:pPr>
      <w:r w:rsidRPr="002E497D">
        <w:rPr>
          <w:rFonts w:eastAsia="Lucida Sans Unicode"/>
          <w:kern w:val="1"/>
          <w:lang w:eastAsia="hi-IN" w:bidi="hi-IN"/>
        </w:rPr>
        <w:t xml:space="preserve">Работы по снятию слепков, плановая примерка изделия, выдача готового изделия гражданину </w:t>
      </w:r>
      <w:proofErr w:type="gramStart"/>
      <w:r w:rsidRPr="002E497D">
        <w:rPr>
          <w:rFonts w:eastAsia="Lucida Sans Unicode"/>
          <w:kern w:val="1"/>
          <w:lang w:eastAsia="hi-IN" w:bidi="hi-IN"/>
        </w:rPr>
        <w:t>производится</w:t>
      </w:r>
      <w:proofErr w:type="gramEnd"/>
      <w:r w:rsidRPr="002E497D">
        <w:rPr>
          <w:rFonts w:eastAsia="Lucida Sans Unicode"/>
          <w:kern w:val="1"/>
          <w:lang w:eastAsia="hi-IN" w:bidi="hi-IN"/>
        </w:rPr>
        <w:t xml:space="preserve"> в пункте приема граждан</w:t>
      </w:r>
      <w:r>
        <w:rPr>
          <w:rFonts w:eastAsia="Lucida Sans Unicode"/>
          <w:kern w:val="1"/>
          <w:lang w:eastAsia="hi-IN" w:bidi="hi-IN"/>
        </w:rPr>
        <w:t>,</w:t>
      </w:r>
      <w:r w:rsidRPr="002E497D">
        <w:rPr>
          <w:rFonts w:eastAsia="Lucida Sans Unicode"/>
          <w:kern w:val="1"/>
          <w:lang w:eastAsia="hi-IN" w:bidi="hi-IN"/>
        </w:rPr>
        <w:t xml:space="preserve"> открытого на территории Республики Тыва, в г.</w:t>
      </w:r>
      <w:r>
        <w:rPr>
          <w:rFonts w:eastAsia="Lucida Sans Unicode"/>
          <w:kern w:val="1"/>
          <w:lang w:eastAsia="hi-IN" w:bidi="hi-IN"/>
        </w:rPr>
        <w:t xml:space="preserve"> </w:t>
      </w:r>
      <w:r w:rsidRPr="002E497D">
        <w:rPr>
          <w:rFonts w:eastAsia="Lucida Sans Unicode"/>
          <w:kern w:val="1"/>
          <w:lang w:eastAsia="hi-IN" w:bidi="hi-IN"/>
        </w:rPr>
        <w:t>Кызыле. Пункт приема должен быть оборудован мебелью для ожидания в сидячем положении, а также созданы условия для возможности примерки изделия.</w:t>
      </w:r>
    </w:p>
    <w:p w:rsidR="00CB1B67" w:rsidRDefault="009A21BE" w:rsidP="003F0D5F">
      <w:pPr>
        <w:ind w:firstLine="709"/>
        <w:contextualSpacing/>
        <w:jc w:val="both"/>
        <w:rPr>
          <w:b/>
        </w:rPr>
      </w:pPr>
      <w:r w:rsidRPr="00BC232A">
        <w:rPr>
          <w:b/>
        </w:rPr>
        <w:t>Сроки выполнения работ</w:t>
      </w:r>
      <w:r w:rsidR="005A65B7" w:rsidRPr="00BC232A">
        <w:rPr>
          <w:b/>
        </w:rPr>
        <w:t>.</w:t>
      </w:r>
      <w:r w:rsidRPr="00BC232A">
        <w:rPr>
          <w:b/>
        </w:rPr>
        <w:t xml:space="preserve"> </w:t>
      </w:r>
      <w:bookmarkStart w:id="0" w:name="_GoBack"/>
      <w:bookmarkEnd w:id="0"/>
    </w:p>
    <w:p w:rsidR="009A21BE" w:rsidRPr="009A21BE" w:rsidRDefault="009A21BE" w:rsidP="003F0D5F">
      <w:pPr>
        <w:ind w:firstLine="709"/>
        <w:contextualSpacing/>
        <w:jc w:val="both"/>
      </w:pPr>
      <w:r w:rsidRPr="00BC232A">
        <w:t>Срок выполнения работ и выдачи изделия в течени</w:t>
      </w:r>
      <w:proofErr w:type="gramStart"/>
      <w:r w:rsidRPr="00BC232A">
        <w:t>и</w:t>
      </w:r>
      <w:proofErr w:type="gramEnd"/>
      <w:r w:rsidRPr="00BC232A">
        <w:t xml:space="preserve"> 45 календарных дней с даты получения реестр</w:t>
      </w:r>
      <w:r w:rsidR="00CD16D1" w:rsidRPr="00BC232A">
        <w:t>а</w:t>
      </w:r>
      <w:r w:rsidR="00670A09">
        <w:t xml:space="preserve"> от З</w:t>
      </w:r>
      <w:r w:rsidR="00CD16D1" w:rsidRPr="00BC232A">
        <w:t>аказчика, но не позднее 01 декабря</w:t>
      </w:r>
      <w:r w:rsidRPr="00BC232A">
        <w:t xml:space="preserve"> 2023 год</w:t>
      </w:r>
      <w:r w:rsidR="00CD16D1" w:rsidRPr="00BC232A">
        <w:t>а. Срок действия контракта</w:t>
      </w:r>
      <w:r w:rsidR="005A65B7" w:rsidRPr="00BC232A">
        <w:t>:</w:t>
      </w:r>
      <w:r w:rsidR="00CD16D1" w:rsidRPr="00BC232A">
        <w:t xml:space="preserve"> 2</w:t>
      </w:r>
      <w:r w:rsidR="009752AA">
        <w:t>0</w:t>
      </w:r>
      <w:r w:rsidRPr="00BC232A">
        <w:t>.12</w:t>
      </w:r>
      <w:r w:rsidR="005A65B7" w:rsidRPr="00BC232A">
        <w:t>.2023</w:t>
      </w:r>
      <w:r w:rsidRPr="00BC232A">
        <w:t>.</w:t>
      </w:r>
    </w:p>
    <w:p w:rsidR="00E37928" w:rsidRDefault="00E37928" w:rsidP="009E3599">
      <w:pPr>
        <w:ind w:left="-41" w:hanging="368"/>
        <w:contextualSpacing/>
        <w:jc w:val="both"/>
        <w:rPr>
          <w:rFonts w:eastAsia="Lucida Sans Unicode"/>
          <w:bCs/>
          <w:color w:val="000000"/>
          <w:lang w:eastAsia="en-US" w:bidi="en-US"/>
        </w:rPr>
      </w:pPr>
    </w:p>
    <w:p w:rsidR="00FD51BD" w:rsidRPr="00E37928" w:rsidRDefault="00FD51BD" w:rsidP="009E3599">
      <w:pPr>
        <w:ind w:left="-41" w:hanging="368"/>
        <w:contextualSpacing/>
        <w:jc w:val="both"/>
        <w:rPr>
          <w:rFonts w:eastAsia="Lucida Sans Unicode"/>
          <w:bCs/>
          <w:color w:val="000000"/>
          <w:lang w:eastAsia="en-US" w:bidi="en-US"/>
        </w:rPr>
      </w:pPr>
    </w:p>
    <w:p w:rsidR="002D5E4F" w:rsidRPr="00E37928" w:rsidRDefault="002D5E4F" w:rsidP="009E3599">
      <w:pPr>
        <w:ind w:firstLine="567"/>
        <w:jc w:val="both"/>
      </w:pPr>
    </w:p>
    <w:sectPr w:rsidR="002D5E4F" w:rsidRPr="00E37928" w:rsidSect="008355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09" w:rsidRDefault="007F3309" w:rsidP="008355E6">
      <w:r>
        <w:separator/>
      </w:r>
    </w:p>
  </w:endnote>
  <w:endnote w:type="continuationSeparator" w:id="0">
    <w:p w:rsidR="007F3309" w:rsidRDefault="007F3309" w:rsidP="0083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09" w:rsidRDefault="007F3309" w:rsidP="008355E6">
      <w:r>
        <w:separator/>
      </w:r>
    </w:p>
  </w:footnote>
  <w:footnote w:type="continuationSeparator" w:id="0">
    <w:p w:rsidR="007F3309" w:rsidRDefault="007F3309" w:rsidP="0083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716343"/>
      <w:docPartObj>
        <w:docPartGallery w:val="Page Numbers (Top of Page)"/>
        <w:docPartUnique/>
      </w:docPartObj>
    </w:sdtPr>
    <w:sdtEndPr/>
    <w:sdtContent>
      <w:p w:rsidR="008355E6" w:rsidRDefault="008355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97D">
          <w:rPr>
            <w:noProof/>
          </w:rPr>
          <w:t>3</w:t>
        </w:r>
        <w:r>
          <w:fldChar w:fldCharType="end"/>
        </w:r>
      </w:p>
    </w:sdtContent>
  </w:sdt>
  <w:p w:rsidR="008355E6" w:rsidRDefault="008355E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DB6"/>
    <w:rsid w:val="00011A21"/>
    <w:rsid w:val="000D137E"/>
    <w:rsid w:val="000E299C"/>
    <w:rsid w:val="001060C1"/>
    <w:rsid w:val="0011457D"/>
    <w:rsid w:val="001211A4"/>
    <w:rsid w:val="00130382"/>
    <w:rsid w:val="00187904"/>
    <w:rsid w:val="001A2CF1"/>
    <w:rsid w:val="00285329"/>
    <w:rsid w:val="00295D8F"/>
    <w:rsid w:val="002D5E4F"/>
    <w:rsid w:val="002E497D"/>
    <w:rsid w:val="00320BDE"/>
    <w:rsid w:val="003F0D5F"/>
    <w:rsid w:val="00443AD7"/>
    <w:rsid w:val="00466D5E"/>
    <w:rsid w:val="004837A7"/>
    <w:rsid w:val="004D1927"/>
    <w:rsid w:val="004E6490"/>
    <w:rsid w:val="004E748B"/>
    <w:rsid w:val="0052259A"/>
    <w:rsid w:val="00530D17"/>
    <w:rsid w:val="00555788"/>
    <w:rsid w:val="00563967"/>
    <w:rsid w:val="00567D1B"/>
    <w:rsid w:val="005A65B7"/>
    <w:rsid w:val="005E0C9A"/>
    <w:rsid w:val="00604301"/>
    <w:rsid w:val="00665037"/>
    <w:rsid w:val="00670A09"/>
    <w:rsid w:val="006A0EF7"/>
    <w:rsid w:val="006B492A"/>
    <w:rsid w:val="00707898"/>
    <w:rsid w:val="0071759E"/>
    <w:rsid w:val="007363B7"/>
    <w:rsid w:val="007538B4"/>
    <w:rsid w:val="00770C98"/>
    <w:rsid w:val="00775B9E"/>
    <w:rsid w:val="00777467"/>
    <w:rsid w:val="007919F9"/>
    <w:rsid w:val="007E1081"/>
    <w:rsid w:val="007F3309"/>
    <w:rsid w:val="00814835"/>
    <w:rsid w:val="008355E6"/>
    <w:rsid w:val="008607C9"/>
    <w:rsid w:val="008C4E9B"/>
    <w:rsid w:val="008E397F"/>
    <w:rsid w:val="008F790A"/>
    <w:rsid w:val="00900F90"/>
    <w:rsid w:val="00944677"/>
    <w:rsid w:val="009600CC"/>
    <w:rsid w:val="009752AA"/>
    <w:rsid w:val="009A21BE"/>
    <w:rsid w:val="009E3599"/>
    <w:rsid w:val="009E7076"/>
    <w:rsid w:val="00A31EF7"/>
    <w:rsid w:val="00A36CC2"/>
    <w:rsid w:val="00A574F5"/>
    <w:rsid w:val="00B10579"/>
    <w:rsid w:val="00B13254"/>
    <w:rsid w:val="00B13A4D"/>
    <w:rsid w:val="00B17F19"/>
    <w:rsid w:val="00B438A7"/>
    <w:rsid w:val="00B678B1"/>
    <w:rsid w:val="00B72DB6"/>
    <w:rsid w:val="00BB30D7"/>
    <w:rsid w:val="00BC232A"/>
    <w:rsid w:val="00BD2C01"/>
    <w:rsid w:val="00BE23E0"/>
    <w:rsid w:val="00C45434"/>
    <w:rsid w:val="00C6310E"/>
    <w:rsid w:val="00C640B8"/>
    <w:rsid w:val="00CB092E"/>
    <w:rsid w:val="00CB1B67"/>
    <w:rsid w:val="00CD16D1"/>
    <w:rsid w:val="00D060E2"/>
    <w:rsid w:val="00D91D6B"/>
    <w:rsid w:val="00D97E91"/>
    <w:rsid w:val="00DB547F"/>
    <w:rsid w:val="00DC688D"/>
    <w:rsid w:val="00DD3553"/>
    <w:rsid w:val="00E0170F"/>
    <w:rsid w:val="00E37928"/>
    <w:rsid w:val="00E570BC"/>
    <w:rsid w:val="00E66690"/>
    <w:rsid w:val="00EC3C0D"/>
    <w:rsid w:val="00ED3F1C"/>
    <w:rsid w:val="00F146CD"/>
    <w:rsid w:val="00F2390D"/>
    <w:rsid w:val="00F24FEE"/>
    <w:rsid w:val="00F620C9"/>
    <w:rsid w:val="00F7145E"/>
    <w:rsid w:val="00F80399"/>
    <w:rsid w:val="00F90983"/>
    <w:rsid w:val="00F92A87"/>
    <w:rsid w:val="00FA213B"/>
    <w:rsid w:val="00FC1839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Абзац списка22"/>
    <w:basedOn w:val="a"/>
    <w:qFormat/>
    <w:rsid w:val="00E0170F"/>
    <w:pPr>
      <w:ind w:left="708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9600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8F7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a"/>
    <w:rsid w:val="008F790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5">
    <w:name w:val="List Paragraph"/>
    <w:aliases w:val="Нумерованый список,Bullet List,FooterText,numbered,SL_Абзац списка"/>
    <w:basedOn w:val="a"/>
    <w:link w:val="a6"/>
    <w:qFormat/>
    <w:rsid w:val="008F790A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"/>
    <w:link w:val="a5"/>
    <w:locked/>
    <w:rsid w:val="008F790A"/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rsid w:val="008C4E9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7">
    <w:name w:val="Normal (Web)"/>
    <w:aliases w:val="Обычный (Web)1"/>
    <w:basedOn w:val="a"/>
    <w:qFormat/>
    <w:rsid w:val="003F0D5F"/>
    <w:pPr>
      <w:spacing w:before="100" w:beforeAutospacing="1" w:after="119"/>
    </w:pPr>
  </w:style>
  <w:style w:type="paragraph" w:styleId="a8">
    <w:name w:val="header"/>
    <w:basedOn w:val="a"/>
    <w:link w:val="a9"/>
    <w:uiPriority w:val="99"/>
    <w:unhideWhenUsed/>
    <w:rsid w:val="008355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Абзац списка22"/>
    <w:basedOn w:val="a"/>
    <w:qFormat/>
    <w:rsid w:val="00E0170F"/>
    <w:pPr>
      <w:ind w:left="708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9600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0C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8F79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a"/>
    <w:rsid w:val="008F790A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lang w:eastAsia="zh-CN" w:bidi="hi-IN"/>
    </w:rPr>
  </w:style>
  <w:style w:type="paragraph" w:styleId="a5">
    <w:name w:val="List Paragraph"/>
    <w:aliases w:val="Нумерованый список,Bullet List,FooterText,numbered,SL_Абзац списка"/>
    <w:basedOn w:val="a"/>
    <w:link w:val="a6"/>
    <w:qFormat/>
    <w:rsid w:val="008F790A"/>
    <w:pPr>
      <w:ind w:left="720" w:firstLine="720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Абзац списка Знак"/>
    <w:aliases w:val="Нумерованый список Знак,Bullet List Знак,FooterText Знак,numbered Знак,SL_Абзац списка Знак"/>
    <w:link w:val="a5"/>
    <w:locked/>
    <w:rsid w:val="008F790A"/>
    <w:rPr>
      <w:rFonts w:ascii="Times New Roman" w:eastAsia="Calibri" w:hAnsi="Times New Roman" w:cs="Times New Roman"/>
      <w:sz w:val="28"/>
    </w:rPr>
  </w:style>
  <w:style w:type="paragraph" w:customStyle="1" w:styleId="1">
    <w:name w:val="Без интервала1"/>
    <w:rsid w:val="008C4E9B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7">
    <w:name w:val="Normal (Web)"/>
    <w:aliases w:val="Обычный (Web)1"/>
    <w:basedOn w:val="a"/>
    <w:qFormat/>
    <w:rsid w:val="003F0D5F"/>
    <w:pPr>
      <w:spacing w:before="100" w:beforeAutospacing="1" w:after="119"/>
    </w:pPr>
  </w:style>
  <w:style w:type="paragraph" w:styleId="a8">
    <w:name w:val="header"/>
    <w:basedOn w:val="a"/>
    <w:link w:val="a9"/>
    <w:uiPriority w:val="99"/>
    <w:unhideWhenUsed/>
    <w:rsid w:val="008355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55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5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44909-8BD8-4FE1-BB6E-330B9848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ГУ-РО ФСС РФ по Республике Тыва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Чойганмаа Маадыр-ооловна</dc:creator>
  <cp:lastModifiedBy>Азияна Юрьевна Хертек</cp:lastModifiedBy>
  <cp:revision>64</cp:revision>
  <cp:lastPrinted>2023-09-04T05:01:00Z</cp:lastPrinted>
  <dcterms:created xsi:type="dcterms:W3CDTF">2022-10-13T12:51:00Z</dcterms:created>
  <dcterms:modified xsi:type="dcterms:W3CDTF">2023-09-18T10:33:00Z</dcterms:modified>
</cp:coreProperties>
</file>