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2" w:rsidRDefault="00B60889" w:rsidP="00E85334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992"/>
        <w:gridCol w:w="1134"/>
      </w:tblGrid>
      <w:tr w:rsidR="00D23AA3" w:rsidTr="001B2619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Default="00D23AA3" w:rsidP="001B2619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D23AA3" w:rsidTr="001B2619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 xml:space="preserve">Для выполнения </w:t>
            </w:r>
            <w:r>
              <w:rPr>
                <w:rFonts w:eastAsia="Arial"/>
                <w:bCs/>
                <w:sz w:val="22"/>
                <w:szCs w:val="22"/>
              </w:rPr>
              <w:t>функций по обеспечению инвалида протезом верхней конечности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421C41">
              <w:rPr>
                <w:rFonts w:eastAsia="Arial"/>
                <w:bCs/>
                <w:sz w:val="22"/>
                <w:szCs w:val="22"/>
              </w:rPr>
              <w:t>абилитации</w:t>
            </w:r>
            <w:proofErr w:type="spellEnd"/>
            <w:r w:rsidRPr="00421C41">
              <w:rPr>
                <w:rFonts w:eastAsia="Arial"/>
                <w:bCs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Выполняемые</w:t>
            </w:r>
            <w:r>
              <w:rPr>
                <w:rFonts w:eastAsia="Arial"/>
                <w:bCs/>
                <w:sz w:val="22"/>
                <w:szCs w:val="22"/>
              </w:rPr>
              <w:t xml:space="preserve"> работы по обеспечению инвалида протезом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</w:t>
            </w:r>
            <w:r>
              <w:rPr>
                <w:rFonts w:eastAsia="Arial"/>
                <w:bCs/>
                <w:sz w:val="22"/>
                <w:szCs w:val="22"/>
              </w:rPr>
              <w:t>ции ограничений его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жизнедеятельности.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протезом. Функциональный узел протеза конечности выполняет заданную функцию и имеет конструктивно-технологическую завершенность.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Согласн</w:t>
            </w:r>
            <w:r>
              <w:rPr>
                <w:rFonts w:eastAsia="Arial"/>
                <w:bCs/>
                <w:sz w:val="22"/>
                <w:szCs w:val="22"/>
              </w:rPr>
              <w:t xml:space="preserve">о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51632-2021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испытаний» прот</w:t>
            </w:r>
            <w:r>
              <w:rPr>
                <w:rFonts w:eastAsia="Arial"/>
                <w:bCs/>
                <w:sz w:val="22"/>
                <w:szCs w:val="22"/>
              </w:rPr>
              <w:t>ез должен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</w:t>
            </w:r>
            <w:r>
              <w:rPr>
                <w:rFonts w:eastAsia="Arial"/>
                <w:bCs/>
                <w:sz w:val="22"/>
                <w:szCs w:val="22"/>
              </w:rPr>
              <w:t>отренного использования. Протез, подвергшийся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в процессе эксплуатации резкому изменению температуры внешн</w:t>
            </w:r>
            <w:r>
              <w:rPr>
                <w:rFonts w:eastAsia="Arial"/>
                <w:bCs/>
                <w:sz w:val="22"/>
                <w:szCs w:val="22"/>
              </w:rPr>
              <w:t>ей среды, должен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сохранять работоспособность.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Протез должен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отвечать требованиям п. 2.2 Национального стандарта  ГОСТ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51819-2017 «Протезирование и </w:t>
            </w:r>
            <w:proofErr w:type="spellStart"/>
            <w:r w:rsidRPr="00421C41">
              <w:rPr>
                <w:rFonts w:eastAsia="Arial"/>
                <w:bCs/>
                <w:sz w:val="22"/>
                <w:szCs w:val="22"/>
              </w:rPr>
              <w:t>ортезирование</w:t>
            </w:r>
            <w:proofErr w:type="spellEnd"/>
            <w:r w:rsidRPr="00421C41">
              <w:rPr>
                <w:rFonts w:eastAsia="Arial"/>
                <w:bCs/>
                <w:sz w:val="22"/>
                <w:szCs w:val="22"/>
              </w:rPr>
              <w:t xml:space="preserve"> верхних и нижних конечностей. Термины и определения». Протезирование должно соответствовать</w:t>
            </w:r>
            <w:r>
              <w:rPr>
                <w:rFonts w:eastAsia="Arial"/>
                <w:bCs/>
                <w:sz w:val="22"/>
                <w:szCs w:val="22"/>
              </w:rPr>
              <w:t xml:space="preserve"> требованиям   ГОСТ 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56138-2021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«Протезы верхних конечностей. Технические требования».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В соответствии с ГОСТ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Протез должен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быть пригоден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</w:t>
            </w:r>
            <w:r>
              <w:rPr>
                <w:rFonts w:eastAsia="Arial"/>
                <w:bCs/>
                <w:sz w:val="22"/>
                <w:szCs w:val="22"/>
              </w:rPr>
              <w:t>чения для использования протеза</w:t>
            </w:r>
            <w:r w:rsidRPr="00421C41">
              <w:rPr>
                <w:rFonts w:eastAsia="Arial"/>
                <w:bCs/>
                <w:sz w:val="22"/>
                <w:szCs w:val="22"/>
              </w:rPr>
      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При выборе материалов для изготовления изделия, в первую очередь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Работы по обеспечению инвалида протезом верхней конечности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следует считать эффективно исполненными, если у инвалида восстановлена двигательная функции конечности, созданы условия для предупреждения развития деформации или благоприятного течения болезни.</w:t>
            </w:r>
            <w:r>
              <w:rPr>
                <w:rFonts w:eastAsia="Arial"/>
                <w:bCs/>
                <w:sz w:val="22"/>
                <w:szCs w:val="22"/>
              </w:rPr>
              <w:t xml:space="preserve"> Работы по обеспечению инвалида протезом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должны быть выполнены с надлежащим качеством и в установленные сроки.</w:t>
            </w:r>
          </w:p>
          <w:p w:rsidR="00D23AA3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BB58C5">
              <w:rPr>
                <w:rFonts w:eastAsia="Arial"/>
                <w:bCs/>
                <w:sz w:val="22"/>
                <w:szCs w:val="22"/>
              </w:rPr>
              <w:t xml:space="preserve">Гарантийный срок должен составлять не менее </w:t>
            </w:r>
            <w:r>
              <w:rPr>
                <w:rFonts w:eastAsia="Arial"/>
                <w:bCs/>
                <w:sz w:val="22"/>
                <w:szCs w:val="22"/>
              </w:rPr>
              <w:t>36</w:t>
            </w:r>
            <w:r w:rsidRPr="00BB58C5">
              <w:rPr>
                <w:rFonts w:eastAsia="Arial"/>
                <w:bCs/>
                <w:sz w:val="22"/>
                <w:szCs w:val="22"/>
              </w:rPr>
              <w:t xml:space="preserve"> месяцев от даты подписания Акта сдачи-приемки работ Получателем.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</w:t>
            </w:r>
            <w:r>
              <w:rPr>
                <w:rFonts w:eastAsia="Arial"/>
                <w:bCs/>
                <w:sz w:val="22"/>
                <w:szCs w:val="22"/>
              </w:rPr>
              <w:t>ащиты Российской Федерации от 05.03.2021  № 107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н  «Об утверждении </w:t>
            </w:r>
            <w:r w:rsidRPr="00421C41">
              <w:rPr>
                <w:rFonts w:eastAsia="Arial"/>
                <w:bCs/>
                <w:sz w:val="22"/>
                <w:szCs w:val="22"/>
              </w:rPr>
              <w:lastRenderedPageBreak/>
              <w:t>сроков пользования техническими средствами реабилитации, протезами и протезно-ортопе</w:t>
            </w:r>
            <w:r>
              <w:rPr>
                <w:rFonts w:eastAsia="Arial"/>
                <w:bCs/>
                <w:sz w:val="22"/>
                <w:szCs w:val="22"/>
              </w:rPr>
              <w:t>дическими изделиями</w:t>
            </w:r>
            <w:r w:rsidRPr="00421C41">
              <w:rPr>
                <w:rFonts w:eastAsia="Arial"/>
                <w:bCs/>
                <w:sz w:val="22"/>
                <w:szCs w:val="22"/>
              </w:rPr>
              <w:t>».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Срок выполнени</w:t>
            </w:r>
            <w:r>
              <w:rPr>
                <w:rFonts w:eastAsia="Arial"/>
                <w:bCs/>
                <w:sz w:val="22"/>
                <w:szCs w:val="22"/>
              </w:rPr>
              <w:t>я работ по изготовлению протеза верхней конечности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– </w:t>
            </w:r>
            <w:r w:rsidRPr="00FD46E4">
              <w:rPr>
                <w:rFonts w:eastAsia="Arial"/>
                <w:bCs/>
                <w:sz w:val="22"/>
                <w:szCs w:val="22"/>
              </w:rPr>
              <w:t>не более 30 календарных дней со дня получения Подрядчи</w:t>
            </w:r>
            <w:r>
              <w:rPr>
                <w:rFonts w:eastAsia="Arial"/>
                <w:bCs/>
                <w:sz w:val="22"/>
                <w:szCs w:val="22"/>
              </w:rPr>
              <w:t>ком реестра Получателей Изделий</w:t>
            </w:r>
            <w:r w:rsidRPr="00421C41"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Требования к упаковке и отгрузке протезов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Упаковка протез</w:t>
            </w:r>
            <w:r>
              <w:rPr>
                <w:rFonts w:eastAsia="Arial"/>
                <w:bCs/>
                <w:sz w:val="22"/>
                <w:szCs w:val="22"/>
              </w:rPr>
              <w:t>а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51632-2021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от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минус 40 °C до плюс 70 °C;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D23AA3" w:rsidRPr="00421C41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 w:rsidRPr="00421C41">
              <w:rPr>
                <w:rFonts w:eastAsia="Arial"/>
                <w:bCs/>
                <w:sz w:val="22"/>
                <w:szCs w:val="22"/>
              </w:rPr>
              <w:t>гПа</w:t>
            </w:r>
            <w:proofErr w:type="spellEnd"/>
            <w:r w:rsidRPr="00421C41"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D23AA3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9D54DA">
              <w:rPr>
                <w:rFonts w:eastAsia="Arial"/>
                <w:bCs/>
                <w:sz w:val="22"/>
                <w:szCs w:val="22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D23AA3" w:rsidRPr="00F33DD2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F33DD2">
              <w:rPr>
                <w:rFonts w:eastAsia="Arial"/>
                <w:bCs/>
                <w:sz w:val="22"/>
                <w:szCs w:val="22"/>
              </w:rPr>
              <w:t>Местом выполнения работ является место нахождения Подрядчика в Российской Федерации.</w:t>
            </w:r>
          </w:p>
          <w:p w:rsidR="00D23AA3" w:rsidRPr="00F33DD2" w:rsidRDefault="00D23AA3" w:rsidP="001B261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F33DD2">
              <w:rPr>
                <w:rFonts w:eastAsia="Arial"/>
                <w:bCs/>
                <w:sz w:val="22"/>
                <w:szCs w:val="22"/>
              </w:rPr>
              <w:t>Порядок и срок выполнения работ: работы по изготовлению протеза осуществляются Подрядчиком не более 30 календарных дней со дня получения Подрядчиком реестра Получателей Изделий.</w:t>
            </w:r>
          </w:p>
          <w:p w:rsidR="00D23AA3" w:rsidRDefault="00D23AA3" w:rsidP="001B261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F33DD2">
              <w:rPr>
                <w:rFonts w:eastAsia="Arial"/>
                <w:bCs/>
                <w:sz w:val="22"/>
                <w:szCs w:val="22"/>
              </w:rPr>
              <w:t>Срок выполнения работ по контракту: с момента заключ</w:t>
            </w:r>
            <w:r>
              <w:rPr>
                <w:rFonts w:eastAsia="Arial"/>
                <w:bCs/>
                <w:sz w:val="22"/>
                <w:szCs w:val="22"/>
              </w:rPr>
              <w:t xml:space="preserve">ения контракта </w:t>
            </w:r>
            <w:r w:rsidRPr="008C2FC5">
              <w:rPr>
                <w:rFonts w:eastAsia="Arial"/>
                <w:bCs/>
                <w:sz w:val="22"/>
                <w:szCs w:val="22"/>
              </w:rPr>
              <w:t>по 30.06.2022.</w:t>
            </w:r>
          </w:p>
        </w:tc>
      </w:tr>
      <w:tr w:rsidR="00D23AA3" w:rsidTr="00D23AA3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F525CF" w:rsidRDefault="00D23AA3" w:rsidP="001B2619">
            <w:pPr>
              <w:keepNext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lastRenderedPageBreak/>
              <w:t>Наименование изделия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3" w:rsidRPr="00F525CF" w:rsidRDefault="00D23AA3" w:rsidP="001B2619">
            <w:pPr>
              <w:keepNext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t>Описание изделия</w:t>
            </w:r>
          </w:p>
          <w:p w:rsidR="00D23AA3" w:rsidRPr="00F525CF" w:rsidRDefault="00D23AA3" w:rsidP="001B261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F525CF" w:rsidRDefault="00D23AA3" w:rsidP="001B2619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</w:t>
            </w:r>
            <w:r w:rsidRPr="00F525CF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F525CF" w:rsidRDefault="00D23AA3" w:rsidP="001B2619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525CF">
              <w:rPr>
                <w:sz w:val="22"/>
                <w:szCs w:val="22"/>
              </w:rPr>
              <w:t>Гарантийный срок (мес.)</w:t>
            </w:r>
          </w:p>
        </w:tc>
      </w:tr>
      <w:tr w:rsidR="00D23AA3" w:rsidRPr="00002993" w:rsidTr="00D23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F525CF" w:rsidRDefault="00D23AA3" w:rsidP="001B2619">
            <w:pPr>
              <w:rPr>
                <w:sz w:val="22"/>
                <w:szCs w:val="22"/>
                <w:highlight w:val="yellow"/>
              </w:rPr>
            </w:pPr>
            <w:r w:rsidRPr="00F33DD2">
              <w:rPr>
                <w:sz w:val="22"/>
                <w:szCs w:val="22"/>
              </w:rPr>
              <w:t>8-05-01</w:t>
            </w:r>
            <w:r>
              <w:rPr>
                <w:sz w:val="22"/>
                <w:szCs w:val="22"/>
              </w:rPr>
              <w:t xml:space="preserve">. </w:t>
            </w:r>
            <w:r w:rsidRPr="00F33DD2">
              <w:rPr>
                <w:sz w:val="22"/>
                <w:szCs w:val="22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2E23B8" w:rsidRDefault="00D23AA3" w:rsidP="001B2619">
            <w:pPr>
              <w:jc w:val="both"/>
              <w:rPr>
                <w:sz w:val="22"/>
                <w:szCs w:val="22"/>
              </w:rPr>
            </w:pPr>
            <w:r w:rsidRPr="00086B12">
              <w:rPr>
                <w:sz w:val="22"/>
                <w:szCs w:val="22"/>
              </w:rPr>
              <w:t xml:space="preserve">Протез после вычленения плеча с электромеханическим приводом и контактной системой управления должен быть  индивидуального изготовления, с </w:t>
            </w:r>
            <w:r>
              <w:rPr>
                <w:sz w:val="22"/>
                <w:szCs w:val="22"/>
              </w:rPr>
              <w:t xml:space="preserve">изготовлением </w:t>
            </w:r>
            <w:r w:rsidRPr="00086B12">
              <w:rPr>
                <w:sz w:val="22"/>
                <w:szCs w:val="22"/>
              </w:rPr>
              <w:t>приемной гильз</w:t>
            </w:r>
            <w:r>
              <w:rPr>
                <w:sz w:val="22"/>
                <w:szCs w:val="22"/>
              </w:rPr>
              <w:t>ы</w:t>
            </w:r>
            <w:r w:rsidRPr="00086B12">
              <w:rPr>
                <w:sz w:val="22"/>
                <w:szCs w:val="22"/>
              </w:rPr>
              <w:t xml:space="preserve"> по слепку. Примерочная гильза должна быть из термопласта. Постоянная гильза должна быть из слоистого пластика с применением композитных материалов и литьевых смол с вкладышем из высокотемпературного силикона или термопласта. Внутри приемной гильзы в проекции управляющих мышц должны быть расположены не менее двух датчиков </w:t>
            </w:r>
            <w:proofErr w:type="spellStart"/>
            <w:r w:rsidRPr="00086B12">
              <w:rPr>
                <w:sz w:val="22"/>
                <w:szCs w:val="22"/>
              </w:rPr>
              <w:t>миосигналов</w:t>
            </w:r>
            <w:proofErr w:type="spellEnd"/>
            <w:r w:rsidRPr="00086B12">
              <w:rPr>
                <w:sz w:val="22"/>
                <w:szCs w:val="22"/>
              </w:rPr>
              <w:t xml:space="preserve">. Плечевой шарнир должен быть оснащен механическим замком и обеспечивать возможность свободного качания в диапазоне не менее 240 градусов, возможность замыкания в не менее чем 25 позициях, проведение проводов от датчиков </w:t>
            </w:r>
            <w:proofErr w:type="spellStart"/>
            <w:r w:rsidRPr="00086B12">
              <w:rPr>
                <w:sz w:val="22"/>
                <w:szCs w:val="22"/>
              </w:rPr>
              <w:t>миосигналов</w:t>
            </w:r>
            <w:proofErr w:type="spellEnd"/>
            <w:r w:rsidRPr="00086B12">
              <w:rPr>
                <w:sz w:val="22"/>
                <w:szCs w:val="22"/>
              </w:rPr>
              <w:t xml:space="preserve"> по специальному каналу, возможность отведения, регулировку </w:t>
            </w:r>
            <w:proofErr w:type="spellStart"/>
            <w:r w:rsidRPr="00086B12">
              <w:rPr>
                <w:sz w:val="22"/>
                <w:szCs w:val="22"/>
              </w:rPr>
              <w:t>тугоподвижности</w:t>
            </w:r>
            <w:proofErr w:type="spellEnd"/>
            <w:r w:rsidRPr="00086B12">
              <w:rPr>
                <w:sz w:val="22"/>
                <w:szCs w:val="22"/>
              </w:rPr>
              <w:t xml:space="preserve"> отведения, управление приводом механического замка специальным переключателем с нажатием рукой или подбородком. Локтевой шарнир должен быть присоединен к несущей гильзе плеча с возможностью ротации в диапазоне не менее 200 градусов. Локтевой шарнир должен иметь встроенную электронную с</w:t>
            </w:r>
            <w:r>
              <w:rPr>
                <w:sz w:val="22"/>
                <w:szCs w:val="22"/>
              </w:rPr>
              <w:t>истему управления с настройками</w:t>
            </w:r>
            <w:r w:rsidRPr="00086B12">
              <w:rPr>
                <w:sz w:val="22"/>
                <w:szCs w:val="22"/>
              </w:rPr>
              <w:t xml:space="preserve">. </w:t>
            </w:r>
            <w:proofErr w:type="gramStart"/>
            <w:r w:rsidRPr="00086B12">
              <w:rPr>
                <w:sz w:val="22"/>
                <w:szCs w:val="22"/>
              </w:rPr>
              <w:t xml:space="preserve">Система управления должна давать возможность раздельно настраивать усиление </w:t>
            </w:r>
            <w:proofErr w:type="spellStart"/>
            <w:r w:rsidRPr="00086B12">
              <w:rPr>
                <w:sz w:val="22"/>
                <w:szCs w:val="22"/>
              </w:rPr>
              <w:t>миосигналов</w:t>
            </w:r>
            <w:proofErr w:type="spellEnd"/>
            <w:r w:rsidRPr="00086B12">
              <w:rPr>
                <w:sz w:val="22"/>
                <w:szCs w:val="22"/>
              </w:rPr>
              <w:t>, а также верхний и нижний пороги срабатывания для каждой из степеней свободы и для переключения между ними, выбирать между альтернативными схемами управления, когда первый сигнал</w:t>
            </w:r>
            <w:r>
              <w:rPr>
                <w:sz w:val="22"/>
                <w:szCs w:val="22"/>
              </w:rPr>
              <w:t>,</w:t>
            </w:r>
            <w:r w:rsidRPr="00086B12">
              <w:rPr>
                <w:sz w:val="22"/>
                <w:szCs w:val="22"/>
              </w:rPr>
              <w:t xml:space="preserve"> превысивший свой верхний порог получает управление устройством или максимальный из сигналов превысивших свои верхние пороги получает управление устройством, настраивать какой паттерн </w:t>
            </w:r>
            <w:proofErr w:type="spellStart"/>
            <w:r w:rsidRPr="00086B12">
              <w:rPr>
                <w:sz w:val="22"/>
                <w:szCs w:val="22"/>
              </w:rPr>
              <w:t>миосигналов</w:t>
            </w:r>
            <w:proofErr w:type="spellEnd"/>
            <w:r w:rsidRPr="00086B12">
              <w:rPr>
                <w:sz w:val="22"/>
                <w:szCs w:val="22"/>
              </w:rPr>
              <w:t xml:space="preserve"> будет отвечать за переключение</w:t>
            </w:r>
            <w:proofErr w:type="gramEnd"/>
            <w:r w:rsidRPr="00086B12">
              <w:rPr>
                <w:sz w:val="22"/>
                <w:szCs w:val="22"/>
              </w:rPr>
              <w:t xml:space="preserve"> </w:t>
            </w:r>
            <w:proofErr w:type="gramStart"/>
            <w:r w:rsidRPr="00086B12">
              <w:rPr>
                <w:sz w:val="22"/>
                <w:szCs w:val="22"/>
              </w:rPr>
              <w:t xml:space="preserve">между устройствами - быстрая ко-контракция, медленная ко-контракция, двойной импульс или удержание сигнала выше порога в течение некоторого времени, устанавливать диапазон углов сгибания локтевого шарнира в пределах от -5 до 135 градусов, регулировать скорости сгибания/разгибания локтевого шарнира и открытия/закрытия кисти, устанавливать свой паттерн переключения для каждой из степеней свободы, управлять двумя устройствами одним </w:t>
            </w:r>
            <w:proofErr w:type="spellStart"/>
            <w:r w:rsidRPr="00086B12">
              <w:rPr>
                <w:sz w:val="22"/>
                <w:szCs w:val="22"/>
              </w:rPr>
              <w:t>миосигналом</w:t>
            </w:r>
            <w:proofErr w:type="spellEnd"/>
            <w:r w:rsidRPr="00086B12">
              <w:rPr>
                <w:sz w:val="22"/>
                <w:szCs w:val="22"/>
              </w:rPr>
              <w:t xml:space="preserve"> в зависимости от скорости его фронта</w:t>
            </w:r>
            <w:proofErr w:type="gramEnd"/>
            <w:r w:rsidRPr="00086B12">
              <w:rPr>
                <w:sz w:val="22"/>
                <w:szCs w:val="22"/>
              </w:rPr>
              <w:t xml:space="preserve">. Локтевой </w:t>
            </w:r>
            <w:r w:rsidRPr="00086B12">
              <w:rPr>
                <w:sz w:val="22"/>
                <w:szCs w:val="22"/>
              </w:rPr>
              <w:lastRenderedPageBreak/>
              <w:t xml:space="preserve">шарнир должен быть </w:t>
            </w:r>
            <w:proofErr w:type="spellStart"/>
            <w:r w:rsidRPr="00086B12">
              <w:rPr>
                <w:sz w:val="22"/>
                <w:szCs w:val="22"/>
              </w:rPr>
              <w:t>экзоскелетного</w:t>
            </w:r>
            <w:proofErr w:type="spellEnd"/>
            <w:r w:rsidRPr="00086B12">
              <w:rPr>
                <w:sz w:val="22"/>
                <w:szCs w:val="22"/>
              </w:rPr>
              <w:t xml:space="preserve"> типа с </w:t>
            </w:r>
            <w:r w:rsidRPr="00FC6963">
              <w:rPr>
                <w:sz w:val="22"/>
                <w:szCs w:val="22"/>
              </w:rPr>
              <w:t xml:space="preserve">электромотором и обеспечивать скорость сгибания не менее 135 градусов в секунду, </w:t>
            </w:r>
            <w:proofErr w:type="gramStart"/>
            <w:r w:rsidRPr="00FC6963">
              <w:rPr>
                <w:sz w:val="22"/>
                <w:szCs w:val="22"/>
              </w:rPr>
              <w:t>силу</w:t>
            </w:r>
            <w:proofErr w:type="gramEnd"/>
            <w:r w:rsidRPr="00FC6963">
              <w:rPr>
                <w:sz w:val="22"/>
                <w:szCs w:val="22"/>
              </w:rPr>
              <w:t xml:space="preserve"> как сгибания так и разгибания не менее 45Н,</w:t>
            </w:r>
            <w:r>
              <w:rPr>
                <w:sz w:val="22"/>
                <w:szCs w:val="22"/>
              </w:rPr>
              <w:t xml:space="preserve"> поднятие грузов весом до 11,3 кг,</w:t>
            </w:r>
            <w:r w:rsidRPr="00FC6963">
              <w:rPr>
                <w:sz w:val="22"/>
                <w:szCs w:val="22"/>
              </w:rPr>
              <w:t xml:space="preserve"> степень</w:t>
            </w:r>
            <w:r w:rsidRPr="00086B12">
              <w:rPr>
                <w:sz w:val="22"/>
                <w:szCs w:val="22"/>
              </w:rPr>
              <w:t xml:space="preserve"> электрозащиты не менее IP22. Локтевой шарнир должен быть уком</w:t>
            </w:r>
            <w:r>
              <w:rPr>
                <w:sz w:val="22"/>
                <w:szCs w:val="22"/>
              </w:rPr>
              <w:t xml:space="preserve">плектован двумя аккумуляторами </w:t>
            </w:r>
            <w:r w:rsidRPr="00086B12">
              <w:rPr>
                <w:sz w:val="22"/>
                <w:szCs w:val="22"/>
              </w:rPr>
              <w:t>и зарядным устройством к этим аккумуляторам. Минимальная рабочая высота локтевого шарнира не должна превышать 48</w:t>
            </w:r>
            <w:r>
              <w:rPr>
                <w:sz w:val="22"/>
                <w:szCs w:val="22"/>
              </w:rPr>
              <w:t xml:space="preserve"> </w:t>
            </w:r>
            <w:r w:rsidRPr="00086B12">
              <w:rPr>
                <w:sz w:val="22"/>
                <w:szCs w:val="22"/>
              </w:rPr>
              <w:t xml:space="preserve">мм. Лучезапястный шарнир должен обеспечивать </w:t>
            </w:r>
            <w:r>
              <w:rPr>
                <w:sz w:val="22"/>
                <w:szCs w:val="22"/>
              </w:rPr>
              <w:t xml:space="preserve">пассивную </w:t>
            </w:r>
            <w:r w:rsidRPr="00086B12">
              <w:rPr>
                <w:sz w:val="22"/>
                <w:szCs w:val="22"/>
              </w:rPr>
              <w:t>ротацию кисти. Кисть должна быть биониче</w:t>
            </w:r>
            <w:r>
              <w:rPr>
                <w:sz w:val="22"/>
                <w:szCs w:val="22"/>
              </w:rPr>
              <w:t xml:space="preserve">ская с программным управлением </w:t>
            </w:r>
            <w:r w:rsidRPr="00086B12">
              <w:rPr>
                <w:sz w:val="22"/>
                <w:szCs w:val="22"/>
              </w:rPr>
              <w:t xml:space="preserve">и независимым электромотором для каждого пальца, с возможностью программирования </w:t>
            </w:r>
            <w:r>
              <w:rPr>
                <w:sz w:val="22"/>
                <w:szCs w:val="22"/>
              </w:rPr>
              <w:t xml:space="preserve">не менее </w:t>
            </w:r>
            <w:r w:rsidRPr="00086B12">
              <w:rPr>
                <w:sz w:val="22"/>
                <w:szCs w:val="22"/>
              </w:rPr>
              <w:t xml:space="preserve">24 различных схватов пальцев кисти, с пропорциональным управлением скорости перемещения пальцев от </w:t>
            </w:r>
            <w:r>
              <w:rPr>
                <w:sz w:val="22"/>
                <w:szCs w:val="22"/>
              </w:rPr>
              <w:t xml:space="preserve">не менее </w:t>
            </w:r>
            <w:r w:rsidRPr="00086B12">
              <w:rPr>
                <w:sz w:val="22"/>
                <w:szCs w:val="22"/>
              </w:rPr>
              <w:t xml:space="preserve">двух датчиков </w:t>
            </w:r>
            <w:proofErr w:type="spellStart"/>
            <w:r w:rsidRPr="00086B12">
              <w:rPr>
                <w:sz w:val="22"/>
                <w:szCs w:val="22"/>
              </w:rPr>
              <w:t>миосигна</w:t>
            </w:r>
            <w:r>
              <w:rPr>
                <w:sz w:val="22"/>
                <w:szCs w:val="22"/>
              </w:rPr>
              <w:t>лов</w:t>
            </w:r>
            <w:proofErr w:type="spellEnd"/>
            <w:r>
              <w:rPr>
                <w:sz w:val="22"/>
                <w:szCs w:val="22"/>
              </w:rPr>
              <w:t>, с питанием от аккумулятора</w:t>
            </w:r>
            <w:r w:rsidRPr="00086B12">
              <w:rPr>
                <w:sz w:val="22"/>
                <w:szCs w:val="22"/>
              </w:rPr>
              <w:t>. Протез должен комплектоваться двумя косметическими оболочками кисти из силикона с подбором цветовых характеристик. Крепление должно быть индивидуальное подгоночное.</w:t>
            </w:r>
          </w:p>
          <w:p w:rsidR="00D23AA3" w:rsidRPr="002E23B8" w:rsidRDefault="00D23AA3" w:rsidP="001B2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F525CF" w:rsidRDefault="00D23AA3" w:rsidP="001B2619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F661D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A3" w:rsidRPr="001C50AD" w:rsidRDefault="00D23AA3" w:rsidP="001B2619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1C50A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36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sectPr w:rsidR="00384875" w:rsidSect="007E27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458F3"/>
    <w:rsid w:val="00057196"/>
    <w:rsid w:val="000610EA"/>
    <w:rsid w:val="00061BE4"/>
    <w:rsid w:val="000A0E9D"/>
    <w:rsid w:val="000A4947"/>
    <w:rsid w:val="000B6C55"/>
    <w:rsid w:val="000B7124"/>
    <w:rsid w:val="000C2A5B"/>
    <w:rsid w:val="000C4446"/>
    <w:rsid w:val="000C7052"/>
    <w:rsid w:val="000D0662"/>
    <w:rsid w:val="000D3D2F"/>
    <w:rsid w:val="00116469"/>
    <w:rsid w:val="001259FA"/>
    <w:rsid w:val="00136585"/>
    <w:rsid w:val="00147FE7"/>
    <w:rsid w:val="00171926"/>
    <w:rsid w:val="00177521"/>
    <w:rsid w:val="00181E12"/>
    <w:rsid w:val="001A2AF2"/>
    <w:rsid w:val="001B0EF7"/>
    <w:rsid w:val="001B267A"/>
    <w:rsid w:val="001D2797"/>
    <w:rsid w:val="001F2C2D"/>
    <w:rsid w:val="00202BDE"/>
    <w:rsid w:val="00221C3C"/>
    <w:rsid w:val="00243336"/>
    <w:rsid w:val="002622DD"/>
    <w:rsid w:val="00281EAD"/>
    <w:rsid w:val="0028211E"/>
    <w:rsid w:val="002A3526"/>
    <w:rsid w:val="002C59E5"/>
    <w:rsid w:val="002D5428"/>
    <w:rsid w:val="002E292C"/>
    <w:rsid w:val="002E61C7"/>
    <w:rsid w:val="002F08E8"/>
    <w:rsid w:val="00304253"/>
    <w:rsid w:val="00322671"/>
    <w:rsid w:val="00332761"/>
    <w:rsid w:val="00353D3F"/>
    <w:rsid w:val="00384875"/>
    <w:rsid w:val="003A7A96"/>
    <w:rsid w:val="003C1F09"/>
    <w:rsid w:val="003C4FF8"/>
    <w:rsid w:val="003E02DA"/>
    <w:rsid w:val="00432C77"/>
    <w:rsid w:val="00436394"/>
    <w:rsid w:val="00445E60"/>
    <w:rsid w:val="004626BD"/>
    <w:rsid w:val="00466683"/>
    <w:rsid w:val="00467C9E"/>
    <w:rsid w:val="0049087E"/>
    <w:rsid w:val="004B43DF"/>
    <w:rsid w:val="004D3034"/>
    <w:rsid w:val="004F1E9D"/>
    <w:rsid w:val="00561BD5"/>
    <w:rsid w:val="0057281A"/>
    <w:rsid w:val="005A092E"/>
    <w:rsid w:val="005B21C2"/>
    <w:rsid w:val="0060233E"/>
    <w:rsid w:val="00606632"/>
    <w:rsid w:val="0062377C"/>
    <w:rsid w:val="00627DD9"/>
    <w:rsid w:val="00635EF2"/>
    <w:rsid w:val="00636A89"/>
    <w:rsid w:val="006434C7"/>
    <w:rsid w:val="00643FD1"/>
    <w:rsid w:val="006646DB"/>
    <w:rsid w:val="00687A8A"/>
    <w:rsid w:val="00697F7E"/>
    <w:rsid w:val="006B724B"/>
    <w:rsid w:val="006C6FAE"/>
    <w:rsid w:val="006D52A5"/>
    <w:rsid w:val="006E0F7F"/>
    <w:rsid w:val="00744284"/>
    <w:rsid w:val="00752719"/>
    <w:rsid w:val="00773122"/>
    <w:rsid w:val="00781AF1"/>
    <w:rsid w:val="007830D4"/>
    <w:rsid w:val="0079189D"/>
    <w:rsid w:val="007A74F9"/>
    <w:rsid w:val="007E278D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9730C"/>
    <w:rsid w:val="008A1E70"/>
    <w:rsid w:val="0090031F"/>
    <w:rsid w:val="00947AE0"/>
    <w:rsid w:val="009557FF"/>
    <w:rsid w:val="00957E11"/>
    <w:rsid w:val="009770CC"/>
    <w:rsid w:val="0098346E"/>
    <w:rsid w:val="0098715C"/>
    <w:rsid w:val="00992013"/>
    <w:rsid w:val="009A2CAD"/>
    <w:rsid w:val="009A39B2"/>
    <w:rsid w:val="009E09D3"/>
    <w:rsid w:val="009E4C43"/>
    <w:rsid w:val="009F7AF6"/>
    <w:rsid w:val="00A02306"/>
    <w:rsid w:val="00A253D4"/>
    <w:rsid w:val="00A33923"/>
    <w:rsid w:val="00A413C1"/>
    <w:rsid w:val="00A5679F"/>
    <w:rsid w:val="00A70157"/>
    <w:rsid w:val="00A901AE"/>
    <w:rsid w:val="00AC5CDB"/>
    <w:rsid w:val="00AD262A"/>
    <w:rsid w:val="00AF2518"/>
    <w:rsid w:val="00AF62B7"/>
    <w:rsid w:val="00AF668B"/>
    <w:rsid w:val="00B138EC"/>
    <w:rsid w:val="00B60889"/>
    <w:rsid w:val="00B64BD6"/>
    <w:rsid w:val="00B81DE5"/>
    <w:rsid w:val="00B82C61"/>
    <w:rsid w:val="00B84A91"/>
    <w:rsid w:val="00BA49A5"/>
    <w:rsid w:val="00BE5B8C"/>
    <w:rsid w:val="00C063AD"/>
    <w:rsid w:val="00C224F4"/>
    <w:rsid w:val="00C25E23"/>
    <w:rsid w:val="00C30EBC"/>
    <w:rsid w:val="00C35D44"/>
    <w:rsid w:val="00C47F18"/>
    <w:rsid w:val="00C94B6F"/>
    <w:rsid w:val="00CA1483"/>
    <w:rsid w:val="00CB0EFA"/>
    <w:rsid w:val="00CB17E1"/>
    <w:rsid w:val="00CD088F"/>
    <w:rsid w:val="00CD12D8"/>
    <w:rsid w:val="00CD4574"/>
    <w:rsid w:val="00CD6305"/>
    <w:rsid w:val="00CE11B6"/>
    <w:rsid w:val="00CE1D2A"/>
    <w:rsid w:val="00CE2337"/>
    <w:rsid w:val="00CE376F"/>
    <w:rsid w:val="00D019C7"/>
    <w:rsid w:val="00D020CB"/>
    <w:rsid w:val="00D04497"/>
    <w:rsid w:val="00D04AE1"/>
    <w:rsid w:val="00D23AA3"/>
    <w:rsid w:val="00D40186"/>
    <w:rsid w:val="00D43CDC"/>
    <w:rsid w:val="00D508F1"/>
    <w:rsid w:val="00D6219D"/>
    <w:rsid w:val="00D75EBD"/>
    <w:rsid w:val="00D77DBF"/>
    <w:rsid w:val="00D978FC"/>
    <w:rsid w:val="00DA5286"/>
    <w:rsid w:val="00DA5E62"/>
    <w:rsid w:val="00DC074E"/>
    <w:rsid w:val="00DC3BF8"/>
    <w:rsid w:val="00DC54F6"/>
    <w:rsid w:val="00DC6445"/>
    <w:rsid w:val="00DD2366"/>
    <w:rsid w:val="00E24912"/>
    <w:rsid w:val="00E305F7"/>
    <w:rsid w:val="00E85334"/>
    <w:rsid w:val="00E90EC4"/>
    <w:rsid w:val="00E91CF8"/>
    <w:rsid w:val="00E96B02"/>
    <w:rsid w:val="00EC73DA"/>
    <w:rsid w:val="00EC75FF"/>
    <w:rsid w:val="00ED6E8F"/>
    <w:rsid w:val="00F1107D"/>
    <w:rsid w:val="00F44863"/>
    <w:rsid w:val="00F451FC"/>
    <w:rsid w:val="00F503C3"/>
    <w:rsid w:val="00F72E09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1178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23</cp:revision>
  <cp:lastPrinted>2021-03-02T05:48:00Z</cp:lastPrinted>
  <dcterms:created xsi:type="dcterms:W3CDTF">2020-10-26T06:27:00Z</dcterms:created>
  <dcterms:modified xsi:type="dcterms:W3CDTF">2021-12-28T13:39:00Z</dcterms:modified>
</cp:coreProperties>
</file>