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836" w:rsidRDefault="00ED5836" w:rsidP="00ED5836">
      <w:pPr>
        <w:keepNext/>
        <w:keepLines/>
        <w:tabs>
          <w:tab w:val="left" w:pos="708"/>
        </w:tabs>
        <w:spacing w:line="240" w:lineRule="auto"/>
        <w:jc w:val="center"/>
        <w:rPr>
          <w:b/>
        </w:rPr>
      </w:pPr>
      <w:r>
        <w:rPr>
          <w:b/>
        </w:rPr>
        <w:t>Описание объекта закупки</w:t>
      </w:r>
    </w:p>
    <w:tbl>
      <w:tblPr>
        <w:tblStyle w:val="a3"/>
        <w:tblW w:w="15657" w:type="dxa"/>
        <w:tblInd w:w="-523" w:type="dxa"/>
        <w:tblLayout w:type="fixed"/>
        <w:tblLook w:val="04A0" w:firstRow="1" w:lastRow="0" w:firstColumn="1" w:lastColumn="0" w:noHBand="0" w:noVBand="1"/>
      </w:tblPr>
      <w:tblGrid>
        <w:gridCol w:w="1682"/>
        <w:gridCol w:w="959"/>
        <w:gridCol w:w="5503"/>
        <w:gridCol w:w="5812"/>
        <w:gridCol w:w="709"/>
        <w:gridCol w:w="992"/>
      </w:tblGrid>
      <w:tr w:rsidR="00D60A5D" w:rsidTr="00D60A5D">
        <w:tc>
          <w:tcPr>
            <w:tcW w:w="1682" w:type="dxa"/>
          </w:tcPr>
          <w:p w:rsidR="00D60A5D" w:rsidRPr="003E577A" w:rsidRDefault="00D60A5D" w:rsidP="00232A1E">
            <w:pPr>
              <w:pStyle w:val="1"/>
              <w:keepNext/>
              <w:keepLines/>
              <w:widowControl/>
              <w:shd w:val="clear" w:color="auto" w:fill="FFFFFF"/>
              <w:ind w:left="-40"/>
              <w:jc w:val="center"/>
              <w:rPr>
                <w:sz w:val="16"/>
                <w:szCs w:val="16"/>
              </w:rPr>
            </w:pPr>
            <w:r w:rsidRPr="001254CB">
              <w:rPr>
                <w:sz w:val="16"/>
                <w:szCs w:val="16"/>
              </w:rPr>
              <w:t>Наименование Товара (по 86 н) (Наименование по КТРУ)</w:t>
            </w:r>
          </w:p>
        </w:tc>
        <w:tc>
          <w:tcPr>
            <w:tcW w:w="959" w:type="dxa"/>
          </w:tcPr>
          <w:p w:rsidR="00D60A5D" w:rsidRPr="003E577A" w:rsidRDefault="00D60A5D" w:rsidP="00426B8D">
            <w:pPr>
              <w:keepNext/>
              <w:keepLines/>
              <w:ind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КТРУ/ОКПД 2</w:t>
            </w:r>
          </w:p>
        </w:tc>
        <w:tc>
          <w:tcPr>
            <w:tcW w:w="11315" w:type="dxa"/>
            <w:gridSpan w:val="2"/>
          </w:tcPr>
          <w:p w:rsidR="00D60A5D" w:rsidRPr="003E577A" w:rsidRDefault="00D60A5D" w:rsidP="00232A1E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объекта закупки</w:t>
            </w:r>
          </w:p>
        </w:tc>
        <w:tc>
          <w:tcPr>
            <w:tcW w:w="709" w:type="dxa"/>
          </w:tcPr>
          <w:p w:rsidR="00D60A5D" w:rsidRPr="003E577A" w:rsidRDefault="00D60A5D" w:rsidP="00A114DF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92" w:type="dxa"/>
          </w:tcPr>
          <w:p w:rsidR="00D60A5D" w:rsidRPr="003E577A" w:rsidRDefault="00D60A5D" w:rsidP="00A114DF">
            <w:pPr>
              <w:keepNext/>
              <w:keepLines/>
              <w:ind w:left="-108" w:right="-108" w:firstLine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77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</w:tr>
      <w:tr w:rsidR="00D60A5D" w:rsidTr="00D60A5D">
        <w:tc>
          <w:tcPr>
            <w:tcW w:w="1682" w:type="dxa"/>
          </w:tcPr>
          <w:p w:rsidR="00D60A5D" w:rsidRPr="000C11D9" w:rsidRDefault="00D60A5D" w:rsidP="00C4110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21-01-02</w:t>
            </w:r>
          </w:p>
          <w:p w:rsidR="00D60A5D" w:rsidRPr="000C11D9" w:rsidRDefault="00D60A5D" w:rsidP="00C4110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Однокомпонентный дренируемый калоприемник со встроенной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конвексной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пластиной</w:t>
            </w:r>
          </w:p>
          <w:p w:rsidR="00D60A5D" w:rsidRPr="000C11D9" w:rsidRDefault="00D60A5D" w:rsidP="00C4110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однокомпонентный)</w:t>
            </w:r>
          </w:p>
          <w:p w:rsidR="00D60A5D" w:rsidRPr="000C11D9" w:rsidRDefault="00D60A5D" w:rsidP="00C4110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32.50.13.190-00006906 </w:t>
            </w:r>
          </w:p>
        </w:tc>
        <w:tc>
          <w:tcPr>
            <w:tcW w:w="5503" w:type="dxa"/>
          </w:tcPr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однокомпонентные дренируемые со встроенной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конвексной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пластиной: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Неразъемный, герметичный, опорожняемый через закрывающееся дренажное отверстие,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дренажным отверстием (портом), с встроенной застежкой для закрывания дренажного отверстия, с фильтром или без фильтра; со встроенной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конвексной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адгезивной пластиной. 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-встроенная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(для втянутых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во впадине и складке живота) на натуральной,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гипоаллергенной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гидроколлоидной основе, с защитным покрытием. Вырезаемое отверстие адгезивной пластины в диапазоне не менее 15 мм и не более 43 мм.</w:t>
            </w:r>
          </w:p>
        </w:tc>
        <w:tc>
          <w:tcPr>
            <w:tcW w:w="5812" w:type="dxa"/>
            <w:vMerge w:val="restart"/>
          </w:tcPr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Специальные средства при нарушениях функций выделения должны соответствовать требованиям национального стандарта Российской Федерации «Изделия медицинские. Оценка биологического действия медицинских изделий», ГОСТ Р ИСО 10993-1-2011, ГОСТ Р ИСО 10993-5-2011, ГОСТ Р ИСО 10993-10-2011 «Изделия медицинские. Требования к образцам и документации, представленной на токсикологические, санитарно-химические испытания, испытания на стерильность и </w:t>
            </w:r>
            <w:proofErr w:type="spellStart"/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пирогенность</w:t>
            </w:r>
            <w:proofErr w:type="spellEnd"/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», ГОСТ Р 58235-2018 «Специальные средства при нарушении функции выделения. Термины и определения. Классификация» и ГОСТ Р 58237-2018 «Средства ухода за кишечными </w:t>
            </w:r>
            <w:proofErr w:type="spellStart"/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стомами</w:t>
            </w:r>
            <w:proofErr w:type="spellEnd"/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 Характеристики и основные требования. Методы испытаний», а в части наименования технических средств реабилитации приказ Министерства труда и социальной защиты Российской Федерации от 13 февраля 2018 года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года №2347-р».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 изделия должны быть разработаны, изготовлены и упакованы таким образом, чтобы их технические характеристики и эксплуатационные свойства в период использования по назначению не испытывали вредного воздействия при транспортировании и хранении изделий;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изделия должны быть снабжены этикеткой (маркировкой), информирующей пользователя об изготовителе, области применения продукции, о сроках хранения, а также предупреждающей о мерах безопасности при эксплуатации;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хранение должно осуществляться в соответствии с требованиями, предъявляемыми к данной категории изделий;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Вся информация на упаковке должна быть представлена на русском языке.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 маркировке и упаковке должна быть в наглядной и доступной форме представлена необходимая и достоверная информация о товарах и их изготовителях, обеспечивающую возможность правильного выбора товаров.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Информация в обязательном порядке должна содержать: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наименование товара;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место нахождения (адрес), фирменное наименование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– наименование страны происхождения товара;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сведения об основных потребительских свойствах товара;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также, с учетом особенностей конкретного вида товара, сведения о его назначении, способе и условиях применения, действии и оказываемом эффекте, </w:t>
            </w: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ограничениях (противопоказаниях) для применения;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не допускается применение изделий, если нарушена упаковка;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Качество Товара должно подтверждаться Декларацией о соответствии либо сертификатом (при наличии).</w:t>
            </w:r>
          </w:p>
          <w:p w:rsidR="00D60A5D" w:rsidRPr="0058140B" w:rsidRDefault="00D60A5D" w:rsidP="00192D2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Документом, подтверждающим факт государственной регистрации медицинского изделия, является регистрационное удостоверение, выданное в соответствии со ст. 38 Федерального закона от 21.11.2011 № 323-ФЗ.</w:t>
            </w:r>
          </w:p>
          <w:p w:rsidR="00D60A5D" w:rsidRPr="0058140B" w:rsidRDefault="00D60A5D" w:rsidP="00192D2F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Технические характеристики и эксплуатационные свойства изделия не должны оказывать такое вредное воздействие, которое подвергало бы риску безопасность пользователя или других лиц в течение срока службы изделия, указанного изготовителем, при эксплуатации в соответствии с инструкцией изготовителя.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5D" w:rsidRPr="00DE4EB4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570</w:t>
            </w:r>
          </w:p>
        </w:tc>
      </w:tr>
      <w:tr w:rsidR="00D60A5D" w:rsidTr="00D60A5D">
        <w:tc>
          <w:tcPr>
            <w:tcW w:w="1682" w:type="dxa"/>
          </w:tcPr>
          <w:p w:rsidR="00D60A5D" w:rsidRPr="000C11D9" w:rsidRDefault="00D60A5D" w:rsidP="00C4110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21-01-05</w:t>
            </w:r>
          </w:p>
          <w:p w:rsidR="00D60A5D" w:rsidRPr="000C11D9" w:rsidRDefault="00D60A5D" w:rsidP="00C41103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Однокомпонентный дренируемый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со встроенной плоской пластиной. </w:t>
            </w:r>
          </w:p>
        </w:tc>
        <w:tc>
          <w:tcPr>
            <w:tcW w:w="959" w:type="dxa"/>
          </w:tcPr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</w:t>
            </w:r>
          </w:p>
          <w:p w:rsidR="00D60A5D" w:rsidRPr="000C11D9" w:rsidRDefault="00D60A5D" w:rsidP="00C41103">
            <w:pPr>
              <w:keepNext/>
              <w:tabs>
                <w:tab w:val="left" w:pos="708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Уроприемники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однокомпонентные дренируемые со встроенной плоской пластиной: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неразъемный герметичный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 многослойного, не пропускающего запах материала (пленки), с односторонним или двусторонним мягким нетканым покрытием, с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антирефлюксным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 сливным клапанами;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встроенная адгезивная (клеевая) пластина должна быть плоская, должна быть на натуральной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гипоаллергенной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основе с защитным покрытием.</w:t>
            </w:r>
          </w:p>
          <w:p w:rsidR="00D60A5D" w:rsidRPr="000C11D9" w:rsidRDefault="00D60A5D" w:rsidP="000C11D9">
            <w:pPr>
              <w:keepNext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Максимальное вырезаемое отверстие под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: не менее 45 мм и не более 55мм.</w:t>
            </w:r>
          </w:p>
        </w:tc>
        <w:tc>
          <w:tcPr>
            <w:tcW w:w="5812" w:type="dxa"/>
            <w:vMerge/>
          </w:tcPr>
          <w:p w:rsidR="00D60A5D" w:rsidRPr="0058140B" w:rsidRDefault="00D60A5D" w:rsidP="00192D2F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5D" w:rsidRDefault="00D60A5D">
            <w:r w:rsidRPr="006F6F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2 100</w:t>
            </w:r>
          </w:p>
        </w:tc>
      </w:tr>
      <w:tr w:rsidR="00D60A5D" w:rsidTr="00D60A5D">
        <w:tc>
          <w:tcPr>
            <w:tcW w:w="1682" w:type="dxa"/>
          </w:tcPr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адгезивная пластина,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,</w:t>
            </w: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D60A5D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мешок дренируемый</w:t>
            </w: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  <w:p w:rsidR="00D60A5D" w:rsidRPr="000C11D9" w:rsidRDefault="00D60A5D" w:rsidP="00C4110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Калоприемники двухкомпонентные дренируемые для втянутых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пластина, дренируемый мешок.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Адгезивная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пластина двухкомпонентного дренируемого калоприемника для втянутых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вогнутой формы для фиксации калоприемника на передней брюшной стенке при втянутых или плоских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стомах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соединяющаяся со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мешком, без/с креплениями для пояса, с защитным покрытием с шаблоном для вырезания отверстий под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 вырезаемыми отверстиями под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фланцем для крепления мешка, соответствующим фланцу мешка. Тип фланцевого соединения: механическое. Глубина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конвекса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5  мм.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Вырезаемое отверстие под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диапазоне не менее 15 мм и не более 51 мм, с фланцем для крепления мешка, соответствующим фланцу мешка, Диаметр фланца – не менее 60 мм;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дренируемый двухкомпонентного калоприемника:</w:t>
            </w:r>
          </w:p>
          <w:p w:rsidR="00D60A5D" w:rsidRPr="000C11D9" w:rsidRDefault="00D60A5D" w:rsidP="000C11D9">
            <w:pPr>
              <w:keepNext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разъемный, герметичный, опорожняемый через закрывающееся дренажное отверстие,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фильтром/без фильтра, с дренажным отверстием (портом), с одноразовым гибким зажимом (не менее одной штуки на каждый мешок) или встроенной застежкой для закрывания дренажного отверстия, с фланцем для крепления мешка к пластине, соответствующим фланцу пластины. Диаметр фланца – не менее 60 мм.</w:t>
            </w:r>
          </w:p>
        </w:tc>
        <w:tc>
          <w:tcPr>
            <w:tcW w:w="5812" w:type="dxa"/>
            <w:vMerge/>
          </w:tcPr>
          <w:p w:rsidR="00D60A5D" w:rsidRPr="0058140B" w:rsidRDefault="00D60A5D" w:rsidP="00192D2F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F6F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Шт. </w:t>
            </w: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>
            <w:r w:rsidRPr="006F6FF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80</w:t>
            </w: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240</w:t>
            </w:r>
          </w:p>
        </w:tc>
      </w:tr>
      <w:tr w:rsidR="00D60A5D" w:rsidTr="00D60A5D">
        <w:tc>
          <w:tcPr>
            <w:tcW w:w="1682" w:type="dxa"/>
          </w:tcPr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21-01-08</w:t>
            </w: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Двухкомпонентный дренируемый калоприемник для втянутых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адгезивная пластина,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мешок дренируемый</w:t>
            </w:r>
          </w:p>
          <w:p w:rsidR="00D60A5D" w:rsidRPr="000C11D9" w:rsidRDefault="00D60A5D" w:rsidP="00C41103">
            <w:pPr>
              <w:widowControl w:val="0"/>
              <w:tabs>
                <w:tab w:val="left" w:pos="708"/>
              </w:tabs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(Калоприемник для кишечной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стомы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открытого типа, многокомпонентный)</w:t>
            </w:r>
          </w:p>
          <w:p w:rsidR="00D60A5D" w:rsidRPr="000C11D9" w:rsidRDefault="00D60A5D" w:rsidP="00C41103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59" w:type="dxa"/>
          </w:tcPr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32.50.13.190-00006904</w:t>
            </w:r>
          </w:p>
          <w:p w:rsidR="00D60A5D" w:rsidRPr="000C11D9" w:rsidRDefault="00D60A5D" w:rsidP="00C4110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503" w:type="dxa"/>
          </w:tcPr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Калоприемники двухкомпонентные дренируемые для втянутых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комплекте: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адгезивная пластина, дренируемый мешок.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Адгезивная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пластина двухкомпонентного дренируемого калоприемника для втянутых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монослойная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или многослойная пластина вогнутой формы для фиксации калоприемника на передней брюшной стенке при втянутых или плоских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стомах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соединяющаяся со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стомным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мешком, без/с креплениями для пояса, с защитным покрытием с шаблоном для вырезания отверстий под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с вырезаемыми отверстиями под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с фланцем для крепления мешка, соответствующим фланцу мешка. Тип фланцевого соединения: механическое. Глубина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конвекса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не менее 4,5 мм.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Вырезаемое отверстие под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стому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в диапазоне не менее 15 мм и не более 51 мм, с фланцем для крепления мешка, соответствующим фланцу мешка, Диаметр фланца – не менее 60 мм;</w:t>
            </w: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0C11D9" w:rsidRDefault="00D60A5D" w:rsidP="000C11D9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дренируемый двухкомпонентного калоприемника:</w:t>
            </w:r>
          </w:p>
          <w:p w:rsidR="00D60A5D" w:rsidRPr="006B2557" w:rsidRDefault="00D60A5D" w:rsidP="000C11D9">
            <w:pPr>
              <w:rPr>
                <w:sz w:val="16"/>
                <w:szCs w:val="16"/>
                <w:lang w:eastAsia="ru-RU"/>
              </w:rPr>
            </w:pPr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разъемный, герметичный, опорожняемый через закрывающееся дренажное отверстие, </w:t>
            </w:r>
            <w:proofErr w:type="spellStart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стомный</w:t>
            </w:r>
            <w:proofErr w:type="spellEnd"/>
            <w:r w:rsidRPr="000C11D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мешок из непрозрачного/прозрачного, многослойного, не пропускающего запах материала (пленки), с односторонним или двусторонним мягким покрытием, с фильтром/без фильтра, с дренажным отверстием (портом), с одноразовым гибким зажимом (не менее одной штуки на каждый мешок) или встроенной застежкой для закрывания дренажного отверстия, с фланцем для крепления мешка к пластине, соответствующим фланцу пластины. Диаметр фланца</w:t>
            </w:r>
            <w:r w:rsidRPr="006B2557">
              <w:rPr>
                <w:sz w:val="16"/>
                <w:szCs w:val="16"/>
                <w:lang w:eastAsia="ru-RU"/>
              </w:rPr>
              <w:t xml:space="preserve"> – не менее 60 мм.</w:t>
            </w:r>
          </w:p>
        </w:tc>
        <w:tc>
          <w:tcPr>
            <w:tcW w:w="5812" w:type="dxa"/>
            <w:vMerge/>
          </w:tcPr>
          <w:p w:rsidR="00D60A5D" w:rsidRPr="0058140B" w:rsidRDefault="00D60A5D" w:rsidP="00192D2F">
            <w:pPr>
              <w:keepNext/>
              <w:keepLines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шт.</w:t>
            </w: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DE4EB4" w:rsidRDefault="00D60A5D" w:rsidP="007C4C58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E4EB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lastRenderedPageBreak/>
              <w:t>2 850</w:t>
            </w: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60A5D" w:rsidRPr="00DE4EB4" w:rsidRDefault="00D60A5D" w:rsidP="00E92DCC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8 550</w:t>
            </w:r>
          </w:p>
        </w:tc>
      </w:tr>
      <w:tr w:rsidR="00D60A5D" w:rsidTr="00D60A5D"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A5D" w:rsidRPr="0058140B" w:rsidRDefault="00D60A5D" w:rsidP="00FB47FE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</w:pPr>
            <w:r w:rsidRPr="0058140B">
              <w:rPr>
                <w:rFonts w:ascii="Times New Roman" w:eastAsia="Lucida Sans Unicode" w:hAnsi="Times New Roman" w:cs="Times New Roman"/>
                <w:b/>
                <w:kern w:val="1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A5D" w:rsidRPr="0012418B" w:rsidRDefault="00D60A5D" w:rsidP="00FB47FE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A5D" w:rsidRPr="0012418B" w:rsidRDefault="00D60A5D" w:rsidP="00FB47FE">
            <w:pPr>
              <w:widowControl w:val="0"/>
              <w:tabs>
                <w:tab w:val="left" w:pos="708"/>
              </w:tabs>
              <w:jc w:val="center"/>
              <w:rPr>
                <w:rFonts w:eastAsia="Lucida Sans Unicode"/>
                <w:kern w:val="1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0A5D" w:rsidRPr="0012418B" w:rsidRDefault="00D60A5D" w:rsidP="00FB47FE">
            <w:pPr>
              <w:pStyle w:val="11"/>
              <w:keepNext w:val="0"/>
              <w:widowControl w:val="0"/>
              <w:ind w:left="-40" w:right="-4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A5D" w:rsidRPr="0012418B" w:rsidRDefault="00D60A5D" w:rsidP="00FB47FE">
            <w:pPr>
              <w:widowControl w:val="0"/>
              <w:jc w:val="center"/>
              <w:rPr>
                <w:sz w:val="18"/>
                <w:szCs w:val="18"/>
              </w:rPr>
            </w:pPr>
            <w:r w:rsidRPr="0012418B">
              <w:rPr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0A5D" w:rsidRPr="0012418B" w:rsidRDefault="00D60A5D" w:rsidP="00FB47FE">
            <w:pPr>
              <w:pStyle w:val="11"/>
              <w:keepNext w:val="0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14 390</w:t>
            </w:r>
          </w:p>
        </w:tc>
      </w:tr>
    </w:tbl>
    <w:p w:rsidR="00192D2F" w:rsidRPr="00C52C5B" w:rsidRDefault="00ED5836" w:rsidP="00ED5836">
      <w:pPr>
        <w:pStyle w:val="ConsPlusNormal"/>
        <w:suppressAutoHyphens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</w:t>
      </w:r>
      <w:r w:rsidR="00192D2F" w:rsidRPr="00C52C5B">
        <w:rPr>
          <w:rFonts w:ascii="Times New Roman" w:hAnsi="Times New Roman" w:cs="Times New Roman"/>
          <w:b/>
          <w:i/>
          <w:sz w:val="24"/>
          <w:szCs w:val="24"/>
        </w:rPr>
        <w:t>Требования к порядку поставки:</w:t>
      </w:r>
      <w:r w:rsidR="00192D2F" w:rsidRPr="00BA6152">
        <w:rPr>
          <w:rFonts w:ascii="Times New Roman" w:hAnsi="Times New Roman" w:cs="Times New Roman"/>
        </w:rPr>
        <w:t xml:space="preserve"> </w:t>
      </w:r>
      <w:r w:rsidR="00192D2F" w:rsidRPr="00C52C5B">
        <w:rPr>
          <w:rFonts w:ascii="Times New Roman" w:hAnsi="Times New Roman" w:cs="Times New Roman"/>
          <w:sz w:val="24"/>
          <w:szCs w:val="24"/>
        </w:rPr>
        <w:t>Предоставить Получателям согласно реестру получателей Товара в пределах административных границ субъекта Российской Федерации право выбора одного из способов получения Товара:</w:t>
      </w:r>
    </w:p>
    <w:p w:rsidR="00192D2F" w:rsidRPr="00C52C5B" w:rsidRDefault="00192D2F" w:rsidP="00192D2F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</w:p>
    <w:p w:rsidR="00192D2F" w:rsidRPr="00C52C5B" w:rsidRDefault="00192D2F" w:rsidP="00192D2F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в стационарных пунктах выдачи, организованных в соответствии с </w:t>
      </w:r>
      <w:hyperlink r:id="rId6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192D2F" w:rsidRPr="00C52C5B" w:rsidRDefault="00192D2F" w:rsidP="00192D2F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В случае выбора Получателем способа получения Товара через пункт выдачи Товара:</w:t>
      </w:r>
    </w:p>
    <w:p w:rsidR="00192D2F" w:rsidRPr="00C52C5B" w:rsidRDefault="00192D2F" w:rsidP="00192D2F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 xml:space="preserve">обеспечить передачу Товара Получателям в стационарных пунктах выдачи, организованных в соответствии с </w:t>
      </w:r>
      <w:hyperlink r:id="rId7" w:history="1">
        <w:r w:rsidRPr="00C52C5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52C5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192D2F" w:rsidRPr="00C52C5B" w:rsidRDefault="00192D2F" w:rsidP="00192D2F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установить график работы пунктов выдачи Товара, включая работу в один из выходных дней.</w:t>
      </w:r>
    </w:p>
    <w:p w:rsidR="00192D2F" w:rsidRPr="00C52C5B" w:rsidRDefault="00192D2F" w:rsidP="00192D2F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Пункты выдачи Товара и склад Поставщика должны быть оснащены видеокамерами.</w:t>
      </w:r>
    </w:p>
    <w:p w:rsidR="00192D2F" w:rsidRPr="00C52C5B" w:rsidRDefault="00192D2F" w:rsidP="00192D2F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2C5B">
        <w:rPr>
          <w:rFonts w:ascii="Times New Roman" w:hAnsi="Times New Roman" w:cs="Times New Roman"/>
          <w:sz w:val="24"/>
          <w:szCs w:val="24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определять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192D2F" w:rsidRPr="00FF1291" w:rsidRDefault="00192D2F" w:rsidP="00192D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1291">
        <w:rPr>
          <w:rFonts w:ascii="Times New Roman" w:hAnsi="Times New Roman" w:cs="Times New Roman"/>
          <w:sz w:val="24"/>
          <w:szCs w:val="24"/>
        </w:rPr>
        <w:t>.</w:t>
      </w:r>
    </w:p>
    <w:p w:rsidR="00192D2F" w:rsidRPr="00BA6152" w:rsidRDefault="00192D2F" w:rsidP="00192D2F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Срок поставки Товара:</w:t>
      </w:r>
      <w:r w:rsidRPr="00BA6152">
        <w:rPr>
          <w:rFonts w:ascii="Times New Roman" w:hAnsi="Times New Roman" w:cs="Times New Roman"/>
          <w:b/>
          <w:i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с даты получения от Заказчика р</w:t>
      </w:r>
      <w:r w:rsidR="00ED5836">
        <w:rPr>
          <w:rFonts w:ascii="Times New Roman" w:hAnsi="Times New Roman" w:cs="Times New Roman"/>
          <w:sz w:val="24"/>
          <w:szCs w:val="24"/>
        </w:rPr>
        <w:t>еестра получателей Товара до "01" декабря 2023</w:t>
      </w:r>
      <w:r w:rsidRPr="00C52C5B">
        <w:rPr>
          <w:rFonts w:ascii="Times New Roman" w:hAnsi="Times New Roman" w:cs="Times New Roman"/>
          <w:sz w:val="24"/>
          <w:szCs w:val="24"/>
        </w:rPr>
        <w:t xml:space="preserve"> года. 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 w:rsidRPr="00BA6152">
        <w:rPr>
          <w:rFonts w:ascii="Times New Roman" w:hAnsi="Times New Roman" w:cs="Times New Roman"/>
        </w:rPr>
        <w:t xml:space="preserve"> </w:t>
      </w:r>
    </w:p>
    <w:p w:rsidR="00192D2F" w:rsidRPr="00BA6152" w:rsidRDefault="00192D2F" w:rsidP="00192D2F">
      <w:pPr>
        <w:pStyle w:val="ConsPlusNormal"/>
        <w:suppressAutoHyphens w:val="0"/>
        <w:ind w:firstLine="540"/>
        <w:jc w:val="both"/>
        <w:rPr>
          <w:rFonts w:ascii="Times New Roman" w:hAnsi="Times New Roman" w:cs="Times New Roman"/>
        </w:rPr>
      </w:pPr>
      <w:r w:rsidRPr="00C52C5B">
        <w:rPr>
          <w:rFonts w:ascii="Times New Roman" w:hAnsi="Times New Roman" w:cs="Times New Roman"/>
          <w:b/>
          <w:i/>
          <w:sz w:val="24"/>
          <w:szCs w:val="24"/>
        </w:rPr>
        <w:t>Место поставки Товара:</w:t>
      </w:r>
      <w:r w:rsidRPr="00BA6152">
        <w:rPr>
          <w:rFonts w:ascii="Times New Roman" w:hAnsi="Times New Roman" w:cs="Times New Roman"/>
        </w:rPr>
        <w:t xml:space="preserve"> </w:t>
      </w:r>
      <w:r w:rsidRPr="00C52C5B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:rsidR="00240145" w:rsidRDefault="00240145" w:rsidP="00DE4EB4">
      <w:pPr>
        <w:widowControl w:val="0"/>
        <w:ind w:right="-284"/>
        <w:jc w:val="both"/>
      </w:pPr>
    </w:p>
    <w:p w:rsidR="00ED5836" w:rsidRDefault="00ED5836" w:rsidP="00DE4EB4">
      <w:pPr>
        <w:widowControl w:val="0"/>
        <w:ind w:right="-284"/>
        <w:jc w:val="both"/>
      </w:pPr>
    </w:p>
    <w:p w:rsidR="0058140B" w:rsidRPr="0058140B" w:rsidRDefault="0058140B" w:rsidP="00DE4EB4">
      <w:pPr>
        <w:widowControl w:val="0"/>
        <w:ind w:right="-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8140B" w:rsidRPr="0058140B" w:rsidSect="00232A1E">
      <w:headerReference w:type="default" r:id="rId8"/>
      <w:pgSz w:w="16838" w:h="11906" w:orient="landscape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AF" w:rsidRDefault="00AB4BAF" w:rsidP="00740592">
      <w:pPr>
        <w:spacing w:after="0" w:line="240" w:lineRule="auto"/>
      </w:pPr>
      <w:r>
        <w:separator/>
      </w:r>
    </w:p>
  </w:endnote>
  <w:endnote w:type="continuationSeparator" w:id="0">
    <w:p w:rsidR="00AB4BAF" w:rsidRDefault="00AB4BAF" w:rsidP="0074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AF" w:rsidRDefault="00AB4BAF" w:rsidP="00740592">
      <w:pPr>
        <w:spacing w:after="0" w:line="240" w:lineRule="auto"/>
      </w:pPr>
      <w:r>
        <w:separator/>
      </w:r>
    </w:p>
  </w:footnote>
  <w:footnote w:type="continuationSeparator" w:id="0">
    <w:p w:rsidR="00AB4BAF" w:rsidRDefault="00AB4BAF" w:rsidP="0074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BAF" w:rsidRDefault="00AB4BAF">
    <w:pPr>
      <w:pStyle w:val="a4"/>
    </w:pPr>
  </w:p>
  <w:p w:rsidR="00AB4BAF" w:rsidRDefault="00AB4BAF">
    <w:pPr>
      <w:pStyle w:val="a4"/>
    </w:pPr>
  </w:p>
  <w:p w:rsidR="00AB4BAF" w:rsidRDefault="00AB4BAF">
    <w:pPr>
      <w:pStyle w:val="a4"/>
    </w:pPr>
  </w:p>
  <w:p w:rsidR="00AB4BAF" w:rsidRDefault="00AB4BAF">
    <w:pPr>
      <w:pStyle w:val="a4"/>
    </w:pPr>
  </w:p>
  <w:p w:rsidR="00AB4BAF" w:rsidRDefault="00AB4B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143"/>
    <w:rsid w:val="000C11D9"/>
    <w:rsid w:val="000D0349"/>
    <w:rsid w:val="00130435"/>
    <w:rsid w:val="00186578"/>
    <w:rsid w:val="00187FB5"/>
    <w:rsid w:val="00190D27"/>
    <w:rsid w:val="00192D2F"/>
    <w:rsid w:val="001D6B6C"/>
    <w:rsid w:val="001D7E74"/>
    <w:rsid w:val="001F7716"/>
    <w:rsid w:val="002015C0"/>
    <w:rsid w:val="00215A1D"/>
    <w:rsid w:val="00232A1E"/>
    <w:rsid w:val="00240145"/>
    <w:rsid w:val="00273BD3"/>
    <w:rsid w:val="00282987"/>
    <w:rsid w:val="002B7B14"/>
    <w:rsid w:val="002D2843"/>
    <w:rsid w:val="003E577A"/>
    <w:rsid w:val="004011F1"/>
    <w:rsid w:val="00426B8D"/>
    <w:rsid w:val="004D7617"/>
    <w:rsid w:val="004E1665"/>
    <w:rsid w:val="004E7162"/>
    <w:rsid w:val="00532228"/>
    <w:rsid w:val="0058140B"/>
    <w:rsid w:val="005B3C67"/>
    <w:rsid w:val="005F0202"/>
    <w:rsid w:val="0064003A"/>
    <w:rsid w:val="0064333E"/>
    <w:rsid w:val="006871EE"/>
    <w:rsid w:val="006922A9"/>
    <w:rsid w:val="006B5721"/>
    <w:rsid w:val="006B64C3"/>
    <w:rsid w:val="006D2685"/>
    <w:rsid w:val="006E6BA3"/>
    <w:rsid w:val="00704B79"/>
    <w:rsid w:val="00740592"/>
    <w:rsid w:val="00791CE0"/>
    <w:rsid w:val="007966CF"/>
    <w:rsid w:val="00796D36"/>
    <w:rsid w:val="007A78A1"/>
    <w:rsid w:val="007C2D5F"/>
    <w:rsid w:val="007C4C58"/>
    <w:rsid w:val="007C6775"/>
    <w:rsid w:val="007D5F58"/>
    <w:rsid w:val="007E2A9D"/>
    <w:rsid w:val="00833291"/>
    <w:rsid w:val="00866146"/>
    <w:rsid w:val="00882C4C"/>
    <w:rsid w:val="008D7354"/>
    <w:rsid w:val="008F2806"/>
    <w:rsid w:val="008F3414"/>
    <w:rsid w:val="00926C43"/>
    <w:rsid w:val="009A3A75"/>
    <w:rsid w:val="009C5991"/>
    <w:rsid w:val="009F06C1"/>
    <w:rsid w:val="00A114DF"/>
    <w:rsid w:val="00A27BCF"/>
    <w:rsid w:val="00A47ED5"/>
    <w:rsid w:val="00A5718E"/>
    <w:rsid w:val="00A858AB"/>
    <w:rsid w:val="00AB098C"/>
    <w:rsid w:val="00AB4BAF"/>
    <w:rsid w:val="00B02FCE"/>
    <w:rsid w:val="00B22C21"/>
    <w:rsid w:val="00B35526"/>
    <w:rsid w:val="00B35563"/>
    <w:rsid w:val="00B63B50"/>
    <w:rsid w:val="00B8146D"/>
    <w:rsid w:val="00BC2244"/>
    <w:rsid w:val="00C36F88"/>
    <w:rsid w:val="00CD6261"/>
    <w:rsid w:val="00D60A5D"/>
    <w:rsid w:val="00D7162E"/>
    <w:rsid w:val="00D723A0"/>
    <w:rsid w:val="00DE072B"/>
    <w:rsid w:val="00DE4EB4"/>
    <w:rsid w:val="00DE6143"/>
    <w:rsid w:val="00E0253E"/>
    <w:rsid w:val="00E14ECE"/>
    <w:rsid w:val="00E270B9"/>
    <w:rsid w:val="00E43A19"/>
    <w:rsid w:val="00E77298"/>
    <w:rsid w:val="00EB1827"/>
    <w:rsid w:val="00ED5836"/>
    <w:rsid w:val="00F56968"/>
    <w:rsid w:val="00F709A1"/>
    <w:rsid w:val="00F973AB"/>
    <w:rsid w:val="00FA7873"/>
    <w:rsid w:val="00FB47FE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F6752-1C11-4FCB-A069-C0C9FFD8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32A1E"/>
    <w:pPr>
      <w:keepNext/>
      <w:widowControl w:val="0"/>
      <w:shd w:val="clear" w:color="auto" w:fill="FFFFFF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3E577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0592"/>
  </w:style>
  <w:style w:type="paragraph" w:styleId="a6">
    <w:name w:val="footer"/>
    <w:basedOn w:val="a"/>
    <w:link w:val="a7"/>
    <w:uiPriority w:val="99"/>
    <w:unhideWhenUsed/>
    <w:rsid w:val="0074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0592"/>
  </w:style>
  <w:style w:type="paragraph" w:styleId="a8">
    <w:name w:val="Normal (Web)"/>
    <w:aliases w:val="Обычный (Web)"/>
    <w:basedOn w:val="a"/>
    <w:uiPriority w:val="99"/>
    <w:rsid w:val="00DE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DE4EB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2A1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01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11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C22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A078FE77EA38AAB51017371AD04BD4D9044EFFB94CEB97B749FAA5C49E1093C5CBF20F631EBF4F1803922EBD9kEr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F7018CFE6FADC7D3DD4C4FF85B97B6FF9647BCE32911B4DC5C8B819FA505E36A7A95389C1BB307695E59B099FB09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Сякина Татьяна Викторовна</dc:creator>
  <cp:keywords/>
  <dc:description/>
  <cp:lastModifiedBy>7600 Павлюк Ирина Вениаминовна</cp:lastModifiedBy>
  <cp:revision>60</cp:revision>
  <cp:lastPrinted>2022-11-25T09:13:00Z</cp:lastPrinted>
  <dcterms:created xsi:type="dcterms:W3CDTF">2019-12-02T06:38:00Z</dcterms:created>
  <dcterms:modified xsi:type="dcterms:W3CDTF">2022-11-29T13:02:00Z</dcterms:modified>
</cp:coreProperties>
</file>