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2" w:rsidRPr="001401A5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1401A5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1401A5" w:rsidRDefault="00DF69E5" w:rsidP="00DF69E5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электронного </w:t>
      </w:r>
      <w:r w:rsidR="00CD5A02" w:rsidRPr="001401A5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1401A5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1401A5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1A5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</w:p>
    <w:p w:rsidR="00CD5A02" w:rsidRPr="00242A3E" w:rsidRDefault="00924544" w:rsidP="00CD5A02">
      <w:pPr>
        <w:jc w:val="center"/>
        <w:rPr>
          <w:sz w:val="26"/>
          <w:szCs w:val="26"/>
        </w:rPr>
      </w:pPr>
      <w:r w:rsidRPr="0053532B">
        <w:rPr>
          <w:color w:val="000000"/>
          <w:sz w:val="26"/>
          <w:szCs w:val="26"/>
        </w:rPr>
        <w:t>Поставка технических средств реабилитации (</w:t>
      </w:r>
      <w:r w:rsidR="00C24AD7" w:rsidRPr="0053532B">
        <w:rPr>
          <w:sz w:val="26"/>
          <w:szCs w:val="26"/>
        </w:rPr>
        <w:t>бюстгальтер (лиф-крепление) и/или грация (</w:t>
      </w:r>
      <w:proofErr w:type="spellStart"/>
      <w:r w:rsidR="00C24AD7" w:rsidRPr="0053532B">
        <w:rPr>
          <w:sz w:val="26"/>
          <w:szCs w:val="26"/>
        </w:rPr>
        <w:t>полуграция</w:t>
      </w:r>
      <w:proofErr w:type="spellEnd"/>
      <w:r w:rsidR="00C24AD7" w:rsidRPr="0053532B">
        <w:rPr>
          <w:sz w:val="26"/>
          <w:szCs w:val="26"/>
        </w:rPr>
        <w:t xml:space="preserve">) для фиксации </w:t>
      </w:r>
      <w:proofErr w:type="spellStart"/>
      <w:r w:rsidR="00C24AD7" w:rsidRPr="0053532B">
        <w:rPr>
          <w:sz w:val="26"/>
          <w:szCs w:val="26"/>
        </w:rPr>
        <w:t>экзопротеза</w:t>
      </w:r>
      <w:proofErr w:type="spellEnd"/>
      <w:r w:rsidR="00C24AD7" w:rsidRPr="0053532B">
        <w:rPr>
          <w:sz w:val="26"/>
          <w:szCs w:val="26"/>
        </w:rPr>
        <w:t xml:space="preserve"> молочной железы</w:t>
      </w:r>
      <w:r w:rsidRPr="0053532B">
        <w:rPr>
          <w:color w:val="000000"/>
          <w:sz w:val="26"/>
          <w:szCs w:val="26"/>
        </w:rPr>
        <w:t>) в целях социального обеспечения граждан</w:t>
      </w:r>
      <w:r w:rsidR="006B6D3B" w:rsidRPr="0053532B">
        <w:rPr>
          <w:color w:val="000000"/>
          <w:sz w:val="26"/>
          <w:szCs w:val="26"/>
        </w:rPr>
        <w:t xml:space="preserve"> в 2024 году</w:t>
      </w:r>
    </w:p>
    <w:p w:rsidR="008C4F6A" w:rsidRPr="00FD511B" w:rsidRDefault="008C4F6A" w:rsidP="008C4F6A">
      <w:pPr>
        <w:widowControl w:val="0"/>
        <w:autoSpaceDE w:val="0"/>
        <w:ind w:firstLine="284"/>
        <w:jc w:val="both"/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616"/>
        <w:gridCol w:w="1616"/>
        <w:gridCol w:w="732"/>
        <w:gridCol w:w="768"/>
        <w:gridCol w:w="1843"/>
        <w:gridCol w:w="1981"/>
        <w:gridCol w:w="1016"/>
      </w:tblGrid>
      <w:tr w:rsidR="007C44C5" w:rsidRPr="002E681C" w:rsidTr="007C44C5">
        <w:tc>
          <w:tcPr>
            <w:tcW w:w="213" w:type="pct"/>
            <w:shd w:val="clear" w:color="auto" w:fill="auto"/>
          </w:tcPr>
          <w:p w:rsidR="007C44C5" w:rsidRPr="002E681C" w:rsidRDefault="007C44C5" w:rsidP="00991DC5">
            <w:pPr>
              <w:suppressAutoHyphens/>
              <w:ind w:left="-57" w:right="-57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808" w:type="pct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808" w:type="pct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366" w:type="pct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384" w:type="pct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922" w:type="pct"/>
            <w:shd w:val="clear" w:color="auto" w:fill="auto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показателей</w:t>
            </w:r>
          </w:p>
        </w:tc>
        <w:tc>
          <w:tcPr>
            <w:tcW w:w="991" w:type="pct"/>
            <w:shd w:val="clear" w:color="auto" w:fill="auto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показателей</w:t>
            </w:r>
          </w:p>
        </w:tc>
        <w:tc>
          <w:tcPr>
            <w:tcW w:w="508" w:type="pct"/>
            <w:shd w:val="clear" w:color="auto" w:fill="auto"/>
          </w:tcPr>
          <w:p w:rsidR="007C44C5" w:rsidRPr="002E681C" w:rsidRDefault="007C44C5" w:rsidP="00991DC5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Кол-во,шт.</w:t>
            </w:r>
          </w:p>
        </w:tc>
      </w:tr>
      <w:tr w:rsidR="007C44C5" w:rsidRPr="002E681C" w:rsidTr="007C44C5">
        <w:tc>
          <w:tcPr>
            <w:tcW w:w="213" w:type="pct"/>
            <w:vMerge w:val="restart"/>
            <w:shd w:val="clear" w:color="auto" w:fill="auto"/>
          </w:tcPr>
          <w:p w:rsidR="007C44C5" w:rsidRPr="00B058D2" w:rsidRDefault="007C44C5" w:rsidP="00991DC5">
            <w:pPr>
              <w:suppressAutoHyphens/>
              <w:ind w:firstLine="426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08" w:type="pct"/>
            <w:vMerge w:val="restart"/>
          </w:tcPr>
          <w:p w:rsidR="007C44C5" w:rsidRDefault="007C44C5" w:rsidP="00991DC5">
            <w:pPr>
              <w:suppressAutoHyphens/>
              <w:contextualSpacing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  <w:p w:rsidR="007C44C5" w:rsidRPr="00364DDC" w:rsidRDefault="007C44C5" w:rsidP="007C44C5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Бюстгальтер (лиф-крепление) и/или грация (</w:t>
            </w:r>
            <w:proofErr w:type="spellStart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>полуграция</w:t>
            </w:r>
            <w:proofErr w:type="spellEnd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 xml:space="preserve">) для фиксации </w:t>
            </w:r>
            <w:proofErr w:type="spellStart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>экзопротеза</w:t>
            </w:r>
            <w:proofErr w:type="spellEnd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 xml:space="preserve"> молочной железы</w:t>
            </w:r>
          </w:p>
          <w:p w:rsidR="007C44C5" w:rsidRDefault="007C44C5" w:rsidP="00991DC5">
            <w:pPr>
              <w:suppressAutoHyphens/>
              <w:contextualSpacing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  <w:p w:rsidR="007C44C5" w:rsidRDefault="007C44C5" w:rsidP="00991DC5">
            <w:pPr>
              <w:suppressAutoHyphens/>
              <w:contextualSpacing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  <w:p w:rsidR="007C44C5" w:rsidRDefault="007C44C5" w:rsidP="00991DC5">
            <w:pPr>
              <w:suppressAutoHyphens/>
              <w:contextualSpacing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  <w:p w:rsidR="007C44C5" w:rsidRDefault="007C44C5" w:rsidP="00991DC5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i/>
                <w:sz w:val="18"/>
                <w:szCs w:val="18"/>
                <w:lang w:eastAsia="zh-CN"/>
              </w:rPr>
              <w:t>Указывается наименование товара и страна происхождения</w:t>
            </w:r>
          </w:p>
        </w:tc>
        <w:tc>
          <w:tcPr>
            <w:tcW w:w="808" w:type="pct"/>
            <w:vMerge w:val="restart"/>
          </w:tcPr>
          <w:p w:rsidR="007C44C5" w:rsidRDefault="007C44C5" w:rsidP="00991DC5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8-09-21</w:t>
            </w:r>
          </w:p>
          <w:p w:rsidR="007C44C5" w:rsidRPr="00364DDC" w:rsidRDefault="007C44C5" w:rsidP="00991DC5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Бюстгальтер (лиф-крепление) и/или грация (</w:t>
            </w:r>
            <w:proofErr w:type="spellStart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>полуграция</w:t>
            </w:r>
            <w:proofErr w:type="spellEnd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 xml:space="preserve">) для фиксации </w:t>
            </w:r>
            <w:proofErr w:type="spellStart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>экзопротеза</w:t>
            </w:r>
            <w:proofErr w:type="spellEnd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 xml:space="preserve"> молочной железы</w:t>
            </w:r>
          </w:p>
          <w:p w:rsidR="007C44C5" w:rsidRPr="00364DDC" w:rsidRDefault="007C44C5" w:rsidP="00991DC5">
            <w:pPr>
              <w:suppressAutoHyphens/>
              <w:ind w:firstLine="426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C44C5" w:rsidRPr="00364DDC" w:rsidRDefault="007C44C5" w:rsidP="00991DC5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 w:val="restart"/>
          </w:tcPr>
          <w:p w:rsidR="007C44C5" w:rsidRPr="00364DDC" w:rsidRDefault="007C44C5" w:rsidP="00991DC5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01.28.08.09.21</w:t>
            </w:r>
          </w:p>
        </w:tc>
        <w:tc>
          <w:tcPr>
            <w:tcW w:w="384" w:type="pct"/>
            <w:vMerge w:val="restart"/>
          </w:tcPr>
          <w:p w:rsidR="007C44C5" w:rsidRPr="00364DDC" w:rsidRDefault="007C44C5" w:rsidP="00991DC5">
            <w:pPr>
              <w:suppressAutoHyphens/>
              <w:ind w:firstLine="426"/>
              <w:contextualSpacing/>
              <w:jc w:val="center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913" w:type="pct"/>
            <w:gridSpan w:val="2"/>
            <w:shd w:val="clear" w:color="auto" w:fill="auto"/>
          </w:tcPr>
          <w:p w:rsidR="007C44C5" w:rsidRPr="00364DDC" w:rsidRDefault="007C44C5" w:rsidP="00991DC5">
            <w:pPr>
              <w:tabs>
                <w:tab w:val="left" w:pos="8780"/>
              </w:tabs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7C44C5" w:rsidRPr="00CD3978" w:rsidRDefault="007C44C5" w:rsidP="00991D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</w:tr>
      <w:tr w:rsidR="007C44C5" w:rsidRPr="002E681C" w:rsidTr="007C44C5">
        <w:tc>
          <w:tcPr>
            <w:tcW w:w="213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4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ind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 xml:space="preserve">Для фиксации </w:t>
            </w:r>
            <w:proofErr w:type="spellStart"/>
            <w:r w:rsidRPr="00364DDC">
              <w:rPr>
                <w:color w:val="000000"/>
                <w:sz w:val="18"/>
                <w:szCs w:val="18"/>
              </w:rPr>
              <w:t>экзопротеза</w:t>
            </w:r>
            <w:proofErr w:type="spellEnd"/>
          </w:p>
        </w:tc>
        <w:tc>
          <w:tcPr>
            <w:tcW w:w="508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ind w:left="-57" w:right="-57" w:firstLine="426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7C44C5" w:rsidRPr="002E681C" w:rsidTr="007C44C5">
        <w:tc>
          <w:tcPr>
            <w:tcW w:w="213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4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ind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Хлопчатобумажные и (или) эластичные материалы</w:t>
            </w:r>
          </w:p>
        </w:tc>
        <w:tc>
          <w:tcPr>
            <w:tcW w:w="508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C44C5" w:rsidRPr="002E681C" w:rsidTr="007C44C5">
        <w:tc>
          <w:tcPr>
            <w:tcW w:w="213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4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Клапаны для крепления </w:t>
            </w:r>
            <w:proofErr w:type="spellStart"/>
            <w:r w:rsidRPr="00364DDC">
              <w:rPr>
                <w:color w:val="000000"/>
                <w:sz w:val="18"/>
                <w:szCs w:val="18"/>
              </w:rPr>
              <w:t>экзопротеза</w:t>
            </w:r>
            <w:proofErr w:type="spellEnd"/>
            <w:r w:rsidRPr="00364DDC">
              <w:rPr>
                <w:color w:val="000000"/>
                <w:sz w:val="18"/>
                <w:szCs w:val="18"/>
              </w:rPr>
              <w:t xml:space="preserve"> к лифу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508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C44C5" w:rsidRPr="002E681C" w:rsidTr="007C44C5">
        <w:tc>
          <w:tcPr>
            <w:tcW w:w="213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4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color w:val="000000"/>
                <w:sz w:val="18"/>
                <w:szCs w:val="18"/>
              </w:rPr>
              <w:t>Застежка на крючки</w:t>
            </w:r>
          </w:p>
          <w:p w:rsidR="007C44C5" w:rsidRPr="00364DDC" w:rsidRDefault="007C44C5" w:rsidP="00991DC5">
            <w:pPr>
              <w:ind w:left="-57" w:right="-57" w:firstLine="426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508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C44C5" w:rsidRPr="002E681C" w:rsidTr="007C44C5">
        <w:tc>
          <w:tcPr>
            <w:tcW w:w="213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4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Размерный ряд от 0 до 12 размеров (для индивидуального подбора инвалидам)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508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C44C5" w:rsidRPr="002E681C" w:rsidTr="007C44C5">
        <w:tc>
          <w:tcPr>
            <w:tcW w:w="213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66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4" w:type="pct"/>
            <w:vMerge/>
          </w:tcPr>
          <w:p w:rsidR="007C44C5" w:rsidRPr="00364DD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Гарантийный срок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C5" w:rsidRPr="00364DDC" w:rsidRDefault="007C44C5" w:rsidP="00991DC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508" w:type="pct"/>
            <w:vMerge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C44C5" w:rsidRPr="002E681C" w:rsidTr="007C44C5">
        <w:tc>
          <w:tcPr>
            <w:tcW w:w="213" w:type="pct"/>
            <w:vAlign w:val="center"/>
          </w:tcPr>
          <w:p w:rsidR="007C44C5" w:rsidRPr="002E681C" w:rsidRDefault="007C44C5" w:rsidP="00991DC5">
            <w:pPr>
              <w:suppressAutoHyphens/>
              <w:ind w:firstLine="426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8" w:type="pct"/>
          </w:tcPr>
          <w:p w:rsidR="007C44C5" w:rsidRPr="00D5455F" w:rsidRDefault="007C44C5" w:rsidP="00991DC5">
            <w:pPr>
              <w:suppressAutoHyphens/>
              <w:ind w:firstLine="426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71" w:type="pct"/>
            <w:gridSpan w:val="5"/>
          </w:tcPr>
          <w:p w:rsidR="007C44C5" w:rsidRPr="00D5455F" w:rsidRDefault="007C44C5" w:rsidP="00991DC5">
            <w:pPr>
              <w:suppressAutoHyphens/>
              <w:ind w:firstLine="426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D5455F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508" w:type="pct"/>
            <w:shd w:val="clear" w:color="auto" w:fill="auto"/>
          </w:tcPr>
          <w:p w:rsidR="007C44C5" w:rsidRPr="002E681C" w:rsidRDefault="007C44C5" w:rsidP="00991DC5">
            <w:pPr>
              <w:suppressAutoHyphens/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1220</w:t>
            </w:r>
          </w:p>
        </w:tc>
      </w:tr>
    </w:tbl>
    <w:p w:rsidR="00C24AD7" w:rsidRDefault="00C24AD7" w:rsidP="00C24AD7">
      <w:pPr>
        <w:widowControl w:val="0"/>
        <w:autoSpaceDE w:val="0"/>
        <w:ind w:firstLine="426"/>
        <w:jc w:val="both"/>
      </w:pP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D5455F">
        <w:t>абилитации</w:t>
      </w:r>
      <w:proofErr w:type="spellEnd"/>
      <w:r w:rsidRPr="00D5455F"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</w:p>
    <w:p w:rsidR="00C24AD7" w:rsidRPr="00D5455F" w:rsidRDefault="00C24AD7" w:rsidP="00C24AD7">
      <w:pPr>
        <w:widowControl w:val="0"/>
        <w:autoSpaceDE w:val="0"/>
        <w:ind w:firstLine="426"/>
        <w:jc w:val="center"/>
      </w:pPr>
      <w:r w:rsidRPr="00D5455F">
        <w:rPr>
          <w:b/>
          <w:bCs/>
        </w:rPr>
        <w:t>Требования к качеству товара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 xml:space="preserve">Выдача Товара должна соответствовать назначениям медико-социальной экспертизы. При выдаче Товара должен быть осуществлен контроль при примерке Получателями указанных средств реабилитации Получатели не должны испытывать болей, избыточного давления, обуславливающих нарушение кровообращения.  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 xml:space="preserve">Товар должен соответствовать ГОСТ Р 51632-2021, ГОСТ </w:t>
      </w:r>
      <w:r w:rsidRPr="00D5455F">
        <w:rPr>
          <w:lang w:val="en-US"/>
        </w:rPr>
        <w:t>ISO</w:t>
      </w:r>
      <w:r w:rsidRPr="00D5455F">
        <w:t xml:space="preserve"> 10993-1-2021, ГОСТ </w:t>
      </w:r>
      <w:r w:rsidRPr="00D5455F">
        <w:rPr>
          <w:lang w:val="en-US"/>
        </w:rPr>
        <w:lastRenderedPageBreak/>
        <w:t>ISO</w:t>
      </w:r>
      <w:r w:rsidRPr="00D5455F">
        <w:t xml:space="preserve">10993-5-2011, ГОСТ </w:t>
      </w:r>
      <w:r w:rsidRPr="00D5455F">
        <w:rPr>
          <w:lang w:val="en-US"/>
        </w:rPr>
        <w:t>ISO</w:t>
      </w:r>
      <w:r w:rsidRPr="00D5455F">
        <w:t xml:space="preserve"> 10993-10-2011.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 xml:space="preserve">Требования к техническим характеристикам </w:t>
      </w:r>
      <w:r w:rsidRPr="00D5455F">
        <w:rPr>
          <w:bCs/>
        </w:rPr>
        <w:t>Товара: указаны в таблице.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  <w:rPr>
          <w:b/>
        </w:rPr>
      </w:pPr>
    </w:p>
    <w:p w:rsidR="00C24AD7" w:rsidRPr="00D5455F" w:rsidRDefault="00C24AD7" w:rsidP="00C24AD7">
      <w:pPr>
        <w:widowControl w:val="0"/>
        <w:autoSpaceDE w:val="0"/>
        <w:ind w:firstLine="426"/>
        <w:jc w:val="center"/>
      </w:pPr>
      <w:r w:rsidRPr="00D5455F">
        <w:rPr>
          <w:b/>
        </w:rPr>
        <w:t xml:space="preserve">Требования к безопасности </w:t>
      </w:r>
      <w:r w:rsidRPr="00D5455F">
        <w:rPr>
          <w:b/>
          <w:bCs/>
        </w:rPr>
        <w:t>товара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Поставщик предоставляет регистрационные удостоверения, и (</w:t>
      </w:r>
      <w:r w:rsidRPr="00D5455F">
        <w:rPr>
          <w:b/>
        </w:rPr>
        <w:t>если есть в наличии</w:t>
      </w:r>
      <w:r w:rsidRPr="00D5455F">
        <w:t>) сертификаты соответствия, либо декларации о соответствии,</w:t>
      </w:r>
      <w:r w:rsidRPr="00D5455F">
        <w:rPr>
          <w:bCs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D5455F">
        <w:t>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  <w:rPr>
          <w:b/>
        </w:rPr>
      </w:pPr>
    </w:p>
    <w:p w:rsidR="00C24AD7" w:rsidRPr="00D5455F" w:rsidRDefault="00C24AD7" w:rsidP="00C24AD7">
      <w:pPr>
        <w:widowControl w:val="0"/>
        <w:autoSpaceDE w:val="0"/>
        <w:ind w:firstLine="426"/>
        <w:jc w:val="center"/>
      </w:pPr>
      <w:r w:rsidRPr="00D5455F">
        <w:rPr>
          <w:b/>
        </w:rPr>
        <w:t xml:space="preserve">Требования к результатам </w:t>
      </w:r>
      <w:r w:rsidRPr="00D5455F">
        <w:rPr>
          <w:b/>
          <w:bCs/>
        </w:rPr>
        <w:t>поставки товара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Обеспечение Получателей должно быть выполнено с надлежащим качеством и в установленные сроки.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Выдача Товара должна быть осуществлена по индивидуальным размерам Получателей.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Выдаваемый Товар должен быть упакован в упаковку, обеспечивающую защиту от повреждений, порчи или загрязнения во время хранения и транспортировки.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  <w:rPr>
          <w:b/>
          <w:bCs/>
        </w:rPr>
      </w:pP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rPr>
          <w:b/>
        </w:rPr>
        <w:t xml:space="preserve">Требования к сроку и (или) объему предоставления гарантий </w:t>
      </w:r>
      <w:r w:rsidRPr="00D5455F">
        <w:rPr>
          <w:b/>
          <w:bCs/>
        </w:rPr>
        <w:t>товара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rPr>
          <w:bCs/>
        </w:rPr>
        <w:t>Гарантийный срок Товара 12 месяцев со дня выдачи бюстгальтера (лиф-крепление) и/или грация (</w:t>
      </w:r>
      <w:proofErr w:type="spellStart"/>
      <w:r w:rsidRPr="00D5455F">
        <w:rPr>
          <w:bCs/>
        </w:rPr>
        <w:t>полуграция</w:t>
      </w:r>
      <w:proofErr w:type="spellEnd"/>
      <w:r w:rsidRPr="00D5455F">
        <w:rPr>
          <w:bCs/>
        </w:rPr>
        <w:t xml:space="preserve">) для фиксации </w:t>
      </w:r>
      <w:proofErr w:type="spellStart"/>
      <w:r w:rsidRPr="00D5455F">
        <w:rPr>
          <w:bCs/>
        </w:rPr>
        <w:t>экзопротеза</w:t>
      </w:r>
      <w:proofErr w:type="spellEnd"/>
      <w:r w:rsidRPr="00D5455F">
        <w:rPr>
          <w:bCs/>
        </w:rPr>
        <w:t xml:space="preserve"> молочной железы Получателю. 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  <w:rPr>
          <w:b/>
          <w:bCs/>
        </w:rPr>
      </w:pPr>
    </w:p>
    <w:p w:rsidR="00C24AD7" w:rsidRPr="00D5455F" w:rsidRDefault="00C24AD7" w:rsidP="00C24AD7">
      <w:pPr>
        <w:widowControl w:val="0"/>
        <w:autoSpaceDE w:val="0"/>
        <w:ind w:firstLine="426"/>
        <w:jc w:val="center"/>
      </w:pPr>
      <w:r w:rsidRPr="00D5455F">
        <w:rPr>
          <w:b/>
        </w:rPr>
        <w:t xml:space="preserve">Место, условия и сроки (периоды) </w:t>
      </w:r>
      <w:r w:rsidRPr="00D5455F">
        <w:rPr>
          <w:b/>
          <w:bCs/>
        </w:rPr>
        <w:t>поставки товара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Пункт выдачи должен быть оборудован телефонными аппаратами для консультации Получателей ТСР.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Пункты выдачи Товара и склад Поставщика должны быть оснащены видеокамерами.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lastRenderedPageBreak/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</w:pPr>
      <w:r w:rsidRPr="00D5455F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C24AD7" w:rsidRPr="00D5455F" w:rsidRDefault="00C24AD7" w:rsidP="00C24AD7">
      <w:pPr>
        <w:widowControl w:val="0"/>
        <w:autoSpaceDE w:val="0"/>
        <w:ind w:firstLine="426"/>
        <w:jc w:val="both"/>
        <w:rPr>
          <w:rFonts w:eastAsia="Times New Roman"/>
          <w:bCs/>
          <w:color w:val="000000"/>
          <w:lang w:eastAsia="zh-CN"/>
        </w:rPr>
      </w:pPr>
    </w:p>
    <w:p w:rsidR="00C24AD7" w:rsidRPr="0053532B" w:rsidRDefault="00C24AD7" w:rsidP="00C24AD7">
      <w:pPr>
        <w:widowControl w:val="0"/>
        <w:ind w:firstLine="426"/>
        <w:jc w:val="both"/>
        <w:rPr>
          <w:rFonts w:eastAsia="Times New Roman"/>
          <w:bCs/>
          <w:i/>
          <w:lang w:eastAsia="zh-CN"/>
        </w:rPr>
      </w:pPr>
      <w:r w:rsidRPr="0053532B">
        <w:rPr>
          <w:rFonts w:eastAsia="Times New Roman"/>
          <w:b/>
          <w:bCs/>
          <w:i/>
          <w:lang w:eastAsia="zh-CN"/>
        </w:rPr>
        <w:t>ОКПД2:</w:t>
      </w:r>
      <w:r w:rsidRPr="0053532B">
        <w:rPr>
          <w:rFonts w:eastAsia="Times New Roman"/>
          <w:bCs/>
          <w:i/>
          <w:lang w:eastAsia="zh-CN"/>
        </w:rPr>
        <w:t xml:space="preserve"> 32.50.23.190 Части и принадлежности протезов и ортопедических приспособлений прочие</w:t>
      </w:r>
    </w:p>
    <w:p w:rsidR="00C24AD7" w:rsidRDefault="00C24AD7" w:rsidP="00C24AD7">
      <w:pPr>
        <w:widowControl w:val="0"/>
        <w:ind w:firstLine="426"/>
        <w:jc w:val="both"/>
        <w:rPr>
          <w:rFonts w:eastAsia="Times New Roman"/>
          <w:bCs/>
          <w:i/>
          <w:lang w:eastAsia="zh-CN"/>
        </w:rPr>
      </w:pPr>
      <w:r w:rsidRPr="0053532B">
        <w:rPr>
          <w:rFonts w:eastAsia="Times New Roman"/>
          <w:bCs/>
          <w:i/>
          <w:color w:val="000000"/>
          <w:lang w:eastAsia="zh-CN"/>
        </w:rPr>
        <w:t xml:space="preserve">КОЗ: </w:t>
      </w:r>
      <w:r w:rsidRPr="0053532B">
        <w:rPr>
          <w:rFonts w:eastAsia="Times New Roman"/>
          <w:bCs/>
          <w:i/>
          <w:lang w:eastAsia="zh-CN"/>
        </w:rPr>
        <w:t>01.28.08.09.21 Бюстгальтер (лиф-крепление) и/или грация (</w:t>
      </w:r>
      <w:proofErr w:type="spellStart"/>
      <w:r w:rsidRPr="0053532B">
        <w:rPr>
          <w:rFonts w:eastAsia="Times New Roman"/>
          <w:bCs/>
          <w:i/>
          <w:lang w:eastAsia="zh-CN"/>
        </w:rPr>
        <w:t>полуграция</w:t>
      </w:r>
      <w:proofErr w:type="spellEnd"/>
      <w:r w:rsidRPr="0053532B">
        <w:rPr>
          <w:rFonts w:eastAsia="Times New Roman"/>
          <w:bCs/>
          <w:i/>
          <w:lang w:eastAsia="zh-CN"/>
        </w:rPr>
        <w:t xml:space="preserve">) для фиксации </w:t>
      </w:r>
      <w:proofErr w:type="spellStart"/>
      <w:r w:rsidRPr="0053532B">
        <w:rPr>
          <w:rFonts w:eastAsia="Times New Roman"/>
          <w:bCs/>
          <w:i/>
          <w:lang w:eastAsia="zh-CN"/>
        </w:rPr>
        <w:t>экзопротеза</w:t>
      </w:r>
      <w:proofErr w:type="spellEnd"/>
      <w:r w:rsidRPr="0053532B">
        <w:rPr>
          <w:rFonts w:eastAsia="Times New Roman"/>
          <w:bCs/>
          <w:i/>
          <w:lang w:eastAsia="zh-CN"/>
        </w:rPr>
        <w:t xml:space="preserve"> молочной железы.</w:t>
      </w:r>
      <w:bookmarkStart w:id="0" w:name="_GoBack"/>
      <w:bookmarkEnd w:id="0"/>
    </w:p>
    <w:p w:rsidR="004C3CEC" w:rsidRPr="00CD5A02" w:rsidRDefault="004C3CEC" w:rsidP="00CB3731">
      <w:pPr>
        <w:tabs>
          <w:tab w:val="left" w:pos="8780"/>
        </w:tabs>
        <w:suppressAutoHyphens/>
        <w:ind w:firstLine="426"/>
        <w:jc w:val="both"/>
      </w:pPr>
    </w:p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D6" w:rsidRDefault="00B131D6" w:rsidP="00524E7E">
      <w:r>
        <w:separator/>
      </w:r>
    </w:p>
  </w:endnote>
  <w:endnote w:type="continuationSeparator" w:id="1">
    <w:p w:rsidR="00B131D6" w:rsidRDefault="00B131D6" w:rsidP="0052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441280"/>
      <w:docPartObj>
        <w:docPartGallery w:val="Page Numbers (Bottom of Page)"/>
        <w:docPartUnique/>
      </w:docPartObj>
    </w:sdtPr>
    <w:sdtContent>
      <w:p w:rsidR="00B131D6" w:rsidRDefault="00295851" w:rsidP="00524E7E">
        <w:pPr>
          <w:pStyle w:val="ae"/>
          <w:jc w:val="center"/>
        </w:pPr>
        <w:r>
          <w:fldChar w:fldCharType="begin"/>
        </w:r>
        <w:r w:rsidR="00B131D6">
          <w:instrText>PAGE   \* MERGEFORMAT</w:instrText>
        </w:r>
        <w:r>
          <w:fldChar w:fldCharType="separate"/>
        </w:r>
        <w:r w:rsidR="00DF69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D6" w:rsidRDefault="00B131D6" w:rsidP="00524E7E">
      <w:r>
        <w:separator/>
      </w:r>
    </w:p>
  </w:footnote>
  <w:footnote w:type="continuationSeparator" w:id="1">
    <w:p w:rsidR="00B131D6" w:rsidRDefault="00B131D6" w:rsidP="0052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95851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3532B"/>
    <w:rsid w:val="00542E59"/>
    <w:rsid w:val="005558B7"/>
    <w:rsid w:val="00562AE2"/>
    <w:rsid w:val="005914A2"/>
    <w:rsid w:val="00592569"/>
    <w:rsid w:val="005C3B58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C44C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D2C95"/>
    <w:rsid w:val="00BE2719"/>
    <w:rsid w:val="00C00600"/>
    <w:rsid w:val="00C10FD5"/>
    <w:rsid w:val="00C24AD7"/>
    <w:rsid w:val="00C33C69"/>
    <w:rsid w:val="00C513A3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B4E11"/>
    <w:rsid w:val="00DB6303"/>
    <w:rsid w:val="00DE624C"/>
    <w:rsid w:val="00DF69E5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A4CBB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Петросян Екатерина Владимировна</cp:lastModifiedBy>
  <cp:revision>28</cp:revision>
  <cp:lastPrinted>2023-10-24T12:18:00Z</cp:lastPrinted>
  <dcterms:created xsi:type="dcterms:W3CDTF">2023-10-24T12:03:00Z</dcterms:created>
  <dcterms:modified xsi:type="dcterms:W3CDTF">2024-02-27T09:35:00Z</dcterms:modified>
</cp:coreProperties>
</file>