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D1" w:rsidRPr="009134C2" w:rsidRDefault="00CD6FD1" w:rsidP="00CD6FD1">
      <w:pPr>
        <w:widowControl w:val="0"/>
        <w:shd w:val="clear" w:color="auto" w:fill="FFFFFF"/>
        <w:suppressAutoHyphens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bidi="ru-RU"/>
        </w:rPr>
      </w:pPr>
      <w:r w:rsidRPr="009134C2">
        <w:rPr>
          <w:rFonts w:ascii="Times New Roman" w:eastAsia="Arial Unicode MS" w:hAnsi="Times New Roman"/>
          <w:i/>
          <w:kern w:val="1"/>
          <w:sz w:val="22"/>
          <w:szCs w:val="22"/>
          <w:lang w:bidi="ru-RU"/>
        </w:rPr>
        <w:t>Приложение № 2 к Извещению</w:t>
      </w:r>
    </w:p>
    <w:p w:rsidR="00CD6FD1" w:rsidRPr="009134C2" w:rsidRDefault="00CD6FD1" w:rsidP="00CD6FD1">
      <w:pPr>
        <w:widowControl w:val="0"/>
        <w:suppressAutoHyphens/>
        <w:jc w:val="right"/>
        <w:rPr>
          <w:rFonts w:ascii="Times New Roman" w:eastAsia="Arial Unicode MS" w:hAnsi="Times New Roman"/>
          <w:b/>
          <w:kern w:val="1"/>
          <w:sz w:val="32"/>
        </w:rPr>
      </w:pPr>
      <w:r w:rsidRPr="009134C2">
        <w:rPr>
          <w:rFonts w:ascii="Times New Roman" w:eastAsia="Arial Unicode MS" w:hAnsi="Times New Roman"/>
          <w:i/>
          <w:kern w:val="1"/>
          <w:sz w:val="22"/>
          <w:szCs w:val="22"/>
          <w:lang w:bidi="ru-RU"/>
        </w:rPr>
        <w:t>об открытом аукционе в электронной форме</w:t>
      </w:r>
    </w:p>
    <w:p w:rsidR="00904570" w:rsidRPr="00CD6FD1" w:rsidRDefault="00904570" w:rsidP="00A32E52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hAnsi="Times New Roman"/>
          <w:i/>
          <w:szCs w:val="22"/>
        </w:rPr>
      </w:pPr>
      <w:r w:rsidRPr="00CD6FD1">
        <w:rPr>
          <w:rFonts w:ascii="Times New Roman" w:hAnsi="Times New Roman"/>
          <w:i/>
          <w:szCs w:val="22"/>
        </w:rPr>
        <w:t>Техническое задание</w:t>
      </w:r>
    </w:p>
    <w:p w:rsidR="00C15751" w:rsidRDefault="00C15751" w:rsidP="00C157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Поставка специальных сре</w:t>
      </w:r>
      <w:proofErr w:type="gramStart"/>
      <w:r>
        <w:rPr>
          <w:rFonts w:ascii="Times New Roman" w:eastAsia="Times New Roman" w:hAnsi="Times New Roman"/>
          <w:b/>
          <w:i/>
        </w:rPr>
        <w:t>дств пр</w:t>
      </w:r>
      <w:proofErr w:type="gramEnd"/>
      <w:r>
        <w:rPr>
          <w:rFonts w:ascii="Times New Roman" w:eastAsia="Times New Roman" w:hAnsi="Times New Roman"/>
          <w:b/>
          <w:i/>
        </w:rPr>
        <w:t>и нарушении функции выделения для инвалидов в 2022 году</w:t>
      </w:r>
      <w:r>
        <w:rPr>
          <w:rFonts w:ascii="Times New Roman" w:hAnsi="Times New Roman"/>
          <w:b/>
          <w:i/>
        </w:rPr>
        <w:t>.</w:t>
      </w:r>
    </w:p>
    <w:p w:rsidR="00C15751" w:rsidRDefault="00C15751" w:rsidP="00C157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6259"/>
        <w:gridCol w:w="1558"/>
      </w:tblGrid>
      <w:tr w:rsidR="00C15751" w:rsidTr="00C15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uppressLineNumbers/>
              <w:tabs>
                <w:tab w:val="left" w:pos="708"/>
              </w:tabs>
              <w:snapToGrid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Наименование товара по КТРУ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ind w:firstLine="3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Описание функциональных и технических характеристик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C15751" w:rsidTr="00C15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 пластырем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код позиции КТРУ: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пениса_порт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при недержании мочи, одноразового пользования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32.50.50.000-00000279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ar-SA"/>
              </w:rPr>
              <w:t>Уропрезерватив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 (п. 3.39.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ГОСТ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58235-2018).</w:t>
            </w:r>
          </w:p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Уропрезервативы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различных размеров от 20 до 40 мм (участником электронного аукциона указывается размерный ряд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уропрезервативов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) с пластырем (индивидуальный подбор).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1200</w:t>
            </w:r>
          </w:p>
        </w:tc>
      </w:tr>
      <w:tr w:rsidR="00C15751" w:rsidTr="00C15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самоклеящийся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код позиции КТРУ: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пениса_порт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при недержании мочи, одноразового пользования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32.50.50.000-00000279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ar-SA"/>
              </w:rPr>
              <w:t>Уропрезерватив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 (п. 3.39.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ГОСТ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58235-2018).</w:t>
            </w:r>
          </w:p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Уропрезервативы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самоклеящиеся различных размеров от 20 до 40 мм (участником электронного аукциона указывается размерный ряд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уропрезервативов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(индивидуальный подбор).</w:t>
            </w:r>
            <w:proofErr w:type="gramEnd"/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1950</w:t>
            </w:r>
          </w:p>
        </w:tc>
      </w:tr>
      <w:tr w:rsidR="00C15751" w:rsidTr="00C15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left="33" w:right="-15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Катетер уретральный длительного пользования</w:t>
            </w:r>
          </w:p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right="33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right="33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left="33" w:right="-15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код позиции КТРУ:</w:t>
            </w:r>
          </w:p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left="33" w:right="-15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Катетер уретральный постоянный для дренажа/промывания</w:t>
            </w:r>
          </w:p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left="33" w:right="-15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32.50.13.190-00006893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ar-SA"/>
              </w:rPr>
              <w:t>Уретральный катетер: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Стандартный двухходовый (один ход для раздувания баллона, второй - для присоединения к мешку-мочеприемнику) катетер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Фолея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с баллоном для длительного использования (п. 3.46.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ГОСТ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58235-2018).</w:t>
            </w:r>
          </w:p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Катетеры для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уростом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различных размеров (индивидуальный подбор).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1 недели.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450</w:t>
            </w:r>
          </w:p>
        </w:tc>
      </w:tr>
      <w:tr w:rsidR="00C15751" w:rsidTr="00C15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1" w:rsidRDefault="00C15751">
            <w:pPr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Катетер уретральный постоянного пользования</w:t>
            </w:r>
          </w:p>
          <w:p w:rsidR="00C15751" w:rsidRDefault="00C15751">
            <w:pPr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right="33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left="33" w:right="-15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код позиции КТРУ:</w:t>
            </w:r>
          </w:p>
          <w:p w:rsidR="00C15751" w:rsidRDefault="00C15751">
            <w:pPr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Катетер уретральный постоянный для дренажа</w:t>
            </w:r>
          </w:p>
          <w:p w:rsidR="00C15751" w:rsidRDefault="00C15751">
            <w:pPr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32.50.13.190-00006892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tabs>
                <w:tab w:val="left" w:pos="2266"/>
              </w:tabs>
              <w:autoSpaceDE w:val="0"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Катетер уретральный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постоянного пользования, катетеры различных размеров (индивидуальный подбор).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45</w:t>
            </w:r>
          </w:p>
        </w:tc>
      </w:tr>
      <w:tr w:rsidR="00C15751" w:rsidTr="00C15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Катетер для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эпицистостомы</w:t>
            </w:r>
            <w:proofErr w:type="spellEnd"/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ar-SA"/>
              </w:rPr>
              <w:t xml:space="preserve">Катетер для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ar-SA"/>
              </w:rPr>
              <w:t>эпицистостом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Двухходовый (один ход для раздувания баллона, второй - для присоединения к мешку-мочеприемнику) баллонный катетер (баллон служит для удержания катетера внутри мочевого пузыря)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эпицистостом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или катетер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Пеццера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эпицистостом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(п. 3.42.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ГОСТ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58235-2018).</w:t>
            </w:r>
          </w:p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Катетеры различных размеров (индивидуальный подбор).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  не менее 1 недели.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1800</w:t>
            </w:r>
          </w:p>
        </w:tc>
      </w:tr>
      <w:tr w:rsidR="00C15751" w:rsidTr="00C15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Система (с катетером) для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нефростомии</w:t>
            </w:r>
            <w:proofErr w:type="spellEnd"/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51" w:rsidRDefault="00C15751">
            <w:pPr>
              <w:suppressAutoHyphens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Система (с катетером) для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нефростомии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предназначена для выведения мочи из почки искусственным путем с помощью дренажа.</w:t>
            </w:r>
          </w:p>
          <w:p w:rsidR="00C15751" w:rsidRDefault="00C15751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Должна включать: </w:t>
            </w:r>
          </w:p>
          <w:p w:rsidR="00C15751" w:rsidRDefault="00C15751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- катетер для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чрескожной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пункционной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нефростомии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(ЧПНС),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однопетлевой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, с боковыми отверстиями на петле, материал термопластичный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рентгеноконтрастный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, с гибким переходником и коннектором для присоединения к мочеприемнику;</w:t>
            </w:r>
            <w:proofErr w:type="gramEnd"/>
          </w:p>
          <w:p w:rsidR="00C15751" w:rsidRDefault="00C15751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- стилет для выпрямления петли катетера;</w:t>
            </w:r>
          </w:p>
          <w:p w:rsidR="00C15751" w:rsidRDefault="00C15751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- проводник с гибким J-образным наконечником;</w:t>
            </w:r>
          </w:p>
          <w:p w:rsidR="00C15751" w:rsidRDefault="00C15751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-пункционная игла;</w:t>
            </w:r>
          </w:p>
          <w:p w:rsidR="00C15751" w:rsidRDefault="00C15751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- дилататор.  </w:t>
            </w:r>
          </w:p>
          <w:p w:rsidR="00C15751" w:rsidRDefault="00C15751">
            <w:pPr>
              <w:suppressAutoHyphens/>
              <w:spacing w:line="254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Стерильная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, для однократного применения. Различных размеров, индивидуальный подбор.</w:t>
            </w:r>
          </w:p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  не менее 3 месяцев.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27</w:t>
            </w:r>
          </w:p>
        </w:tc>
      </w:tr>
      <w:tr w:rsidR="00C15751" w:rsidTr="00C15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1" w:rsidRDefault="00C15751">
            <w:pPr>
              <w:widowControl w:val="0"/>
              <w:tabs>
                <w:tab w:val="left" w:pos="333"/>
              </w:tabs>
              <w:suppressAutoHyphens/>
              <w:snapToGrid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Катетер мочеточниковый для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уретерокутанеостомы</w:t>
            </w:r>
            <w:proofErr w:type="spellEnd"/>
          </w:p>
          <w:p w:rsidR="00C15751" w:rsidRDefault="00C15751">
            <w:pPr>
              <w:widowControl w:val="0"/>
              <w:tabs>
                <w:tab w:val="left" w:pos="333"/>
              </w:tabs>
              <w:suppressAutoHyphens/>
              <w:snapToGrid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51" w:rsidRDefault="00C15751">
            <w:pPr>
              <w:widowControl w:val="0"/>
              <w:tabs>
                <w:tab w:val="left" w:pos="708"/>
              </w:tabs>
              <w:suppressAutoHyphens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очеточниковый катетер для</w:t>
            </w:r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уретерокутанеостом</w:t>
            </w:r>
            <w:proofErr w:type="spellEnd"/>
            <w:r>
              <w:rPr>
                <w:rFonts w:ascii="Times New Roman" w:eastAsia="Times New Roman" w:hAnsi="Times New Roman"/>
                <w:b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:</w:t>
            </w:r>
            <w:r>
              <w:rPr>
                <w:rFonts w:ascii="Times New Roman" w:eastAsia="Times New Roman" w:hAnsi="Times New Roman"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Одноходовый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безбаллонный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 урологический катетер с коннектором для соединения с мочеприемником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pacing w:val="2"/>
                <w:sz w:val="22"/>
                <w:szCs w:val="22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. 3.41. ГОСТ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 xml:space="preserve"> 58235-2018).</w:t>
            </w:r>
          </w:p>
          <w:p w:rsidR="00C15751" w:rsidRDefault="00C15751">
            <w:pPr>
              <w:widowControl w:val="0"/>
              <w:suppressLineNumbers/>
              <w:tabs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Катетер для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уретерокутанеостомии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предназначен для постоянного и временного отведения мочи из мочеточника путем дренажа.</w:t>
            </w:r>
          </w:p>
          <w:p w:rsidR="00C15751" w:rsidRDefault="00C15751">
            <w:pPr>
              <w:widowControl w:val="0"/>
              <w:suppressLineNumbers/>
              <w:tabs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Катетер изготовлен из высококачественного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рентгеноконтрастного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материала (ПВХ). Конец катетера имеет сферический профиль, исключающий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травмирование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тканей при его введении. Катетер имеет боковые отверстия. На катетере должны быть кольцевые метки, позволяющие контролировать глубину его введения. Каждый катетер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снабжен проводником из упругого материала. </w:t>
            </w:r>
          </w:p>
          <w:p w:rsidR="00C15751" w:rsidRDefault="00C15751">
            <w:pPr>
              <w:widowControl w:val="0"/>
              <w:suppressLineNumbers/>
              <w:tabs>
                <w:tab w:val="left" w:pos="100"/>
                <w:tab w:val="left" w:pos="160"/>
                <w:tab w:val="left" w:pos="300"/>
              </w:tabs>
              <w:suppressAutoHyphens/>
              <w:snapToGrid w:val="0"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Стерильный, одноразовый. Различных размеров, индивидуальный подбор.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  не менее 3 месяцев.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lastRenderedPageBreak/>
              <w:t>12</w:t>
            </w:r>
          </w:p>
        </w:tc>
      </w:tr>
      <w:tr w:rsidR="00C15751" w:rsidTr="00C15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Однокомпонентный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дренируемый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keepNext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Уроприемники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однокомпонентные дренируемые со встроенной плоской адгезивной пластиной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09 18 07 по ГОСТ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58235-2018.</w:t>
            </w:r>
          </w:p>
          <w:p w:rsidR="00C15751" w:rsidRDefault="00C15751">
            <w:pPr>
              <w:keepNext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Дренируемый однокомпонентный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: неразъемный герметичный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стомный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мешок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нетканым покрытием (участником электронного аукциона указывается конкретно), с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антирефлюксным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и сливным клапанами; со встроенной плоской адгезивной пластиной для фиксации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на передней брюшной стенке  (п. 3.14.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ГОСТ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58235-2018).</w:t>
            </w:r>
          </w:p>
          <w:p w:rsidR="00C15751" w:rsidRDefault="00C15751">
            <w:pPr>
              <w:keepNext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Вырезаемое отверстие адгезивной пластины должно быть под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стому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до 55 мм включительно. </w:t>
            </w:r>
          </w:p>
          <w:p w:rsidR="00C15751" w:rsidRDefault="00C15751">
            <w:pPr>
              <w:keepNext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1080</w:t>
            </w:r>
          </w:p>
        </w:tc>
      </w:tr>
      <w:tr w:rsidR="00C15751" w:rsidTr="00C15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Двухкомпонентный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дренируемый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комплекте: адгезивная пластина, плоская; </w:t>
            </w: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spacing w:line="240" w:lineRule="exact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Уростомный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мешок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keepNext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Уроприемники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двухкомпонентные дренируемые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, в комплекте плоская адгезивная пластина,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уростомный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мешок 09 18 08 по ГОСТ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58235-2018. </w:t>
            </w:r>
          </w:p>
          <w:p w:rsidR="00C15751" w:rsidRDefault="00C15751">
            <w:pPr>
              <w:keepNext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соединения: сменяемого дренируемого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уростомного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мешка с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антирефлюксным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и сливным клапанами и плоской адгезивной (клеевой) пластины для фиксации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на передней брюшной стенке. </w:t>
            </w:r>
          </w:p>
          <w:p w:rsidR="00C15751" w:rsidRDefault="00C15751">
            <w:pPr>
              <w:spacing w:line="254" w:lineRule="auto"/>
              <w:ind w:firstLine="566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Адгезивная пластина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: Клеевая пластина с защитным покрытием, с шаблоном для вырезания отверстий под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стому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, с вырезаемыми, готовыми или моделируемыми отверстиями под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стому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участником электронного аукциона указывается конкретно)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предназначенная для фиксации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на передней брюшной стенке, соединяющаяся со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стомным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мешком (п. 3.1 ГОСТ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58235-2018).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Плоская пластина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Адгезивная (клеевая) пластина плоской формы для фиксации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уроприемника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на передней брюшной стенке, соединяющаяся со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стомным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мешком (п. 3.2 ГОСТ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58235-2018).</w:t>
            </w:r>
          </w:p>
          <w:p w:rsidR="00C15751" w:rsidRDefault="00C15751">
            <w:pPr>
              <w:spacing w:line="254" w:lineRule="auto"/>
              <w:ind w:firstLine="566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Адгезивная пластина с фланцем для крепления мешка, соответствующим фланцу мешка.</w:t>
            </w:r>
          </w:p>
          <w:p w:rsidR="00C15751" w:rsidRDefault="00C15751">
            <w:pPr>
              <w:spacing w:line="254" w:lineRule="auto"/>
              <w:ind w:firstLine="566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Поставщик должен обеспечить Получателю индивидуальный подбор с учетом индивидуальных особенностей размера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стомы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Получателя.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ind w:firstLine="566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3 суток.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3000</w:t>
            </w:r>
          </w:p>
        </w:tc>
      </w:tr>
      <w:tr w:rsidR="00C15751" w:rsidTr="00C15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51" w:rsidRDefault="00C15751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Стомный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мешок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: Гибкая, герметичная, не пропускающая жидкости, воздух и запах емкость (контейнер) для сбора мочевого отделяемого из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стомы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(п. 3.4 ГОСТ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58235-2018).</w:t>
            </w:r>
          </w:p>
          <w:p w:rsidR="00C15751" w:rsidRDefault="00C15751">
            <w:pPr>
              <w:keepNext/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Уростомный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мешок с фланцем для крепления мешка к пластине, соответствующим фланцу пластины.</w:t>
            </w:r>
          </w:p>
          <w:p w:rsidR="00C15751" w:rsidRDefault="00C15751">
            <w:pPr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Срок службы товара (срок пользования) должен составлять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не менее 24 часов.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lastRenderedPageBreak/>
              <w:t>9000</w:t>
            </w:r>
          </w:p>
        </w:tc>
      </w:tr>
      <w:tr w:rsidR="00C15751" w:rsidTr="00C15751">
        <w:trPr>
          <w:trHeight w:val="39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Пара ремешков для крепления мочеприемников (мешков для сбора мочи) к ноге 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код позиции КТРУ: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Пара ремешков для крепления мочеприемников (мешков для сбора мочи) к ноге</w:t>
            </w:r>
          </w:p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  <w:p w:rsidR="00C15751" w:rsidRDefault="00C15751">
            <w:pPr>
              <w:spacing w:line="254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32.50.13.190-00006909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708"/>
              </w:tabs>
              <w:snapToGrid w:val="0"/>
              <w:spacing w:line="254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Ремешки для крепления мочеприемников:</w:t>
            </w:r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Парные эластичные ремешки для крепления мочеприемников на ноге, регулируемые по длине (п. 3.18.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ГОСТ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58235-2018). </w:t>
            </w:r>
          </w:p>
          <w:p w:rsidR="00C15751" w:rsidRDefault="00C15751">
            <w:pPr>
              <w:widowControl w:val="0"/>
              <w:tabs>
                <w:tab w:val="left" w:pos="708"/>
              </w:tabs>
              <w:snapToGrid w:val="0"/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Ремешки (пара) совместимые с ножными мочеприемниками.</w:t>
            </w:r>
          </w:p>
          <w:p w:rsidR="00C15751" w:rsidRDefault="00C15751">
            <w:pPr>
              <w:spacing w:line="254" w:lineRule="auto"/>
              <w:ind w:firstLine="42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15 суток.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900</w:t>
            </w:r>
          </w:p>
        </w:tc>
      </w:tr>
      <w:tr w:rsidR="00C15751" w:rsidTr="00C15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1" w:rsidRDefault="00C15751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51" w:rsidRDefault="00C15751">
            <w:pPr>
              <w:spacing w:line="254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1" w:rsidRDefault="00C15751">
            <w:pPr>
              <w:spacing w:line="254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1" w:rsidRDefault="00C15751">
            <w:pPr>
              <w:widowControl w:val="0"/>
              <w:tabs>
                <w:tab w:val="left" w:pos="142"/>
              </w:tabs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fldChar w:fldCharType="begin"/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noProof/>
                <w:sz w:val="22"/>
                <w:szCs w:val="22"/>
                <w:lang w:eastAsia="ar-SA"/>
              </w:rPr>
              <w:t>19464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fldChar w:fldCharType="end"/>
            </w:r>
          </w:p>
        </w:tc>
      </w:tr>
    </w:tbl>
    <w:p w:rsidR="00C15751" w:rsidRDefault="00C15751" w:rsidP="00C15751">
      <w:pPr>
        <w:widowControl w:val="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Наименование Товара в соответствии с Приказом Минтруда России от 13.02.2018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Специальные средства при нарушении функции выделения должны соответствовать:</w:t>
      </w: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- ГОСТ </w:t>
      </w:r>
      <w:proofErr w:type="gramStart"/>
      <w:r>
        <w:rPr>
          <w:rFonts w:ascii="Times New Roman" w:hAnsi="Times New Roman"/>
          <w:i/>
          <w:sz w:val="22"/>
        </w:rPr>
        <w:t>Р</w:t>
      </w:r>
      <w:proofErr w:type="gramEnd"/>
      <w:r>
        <w:rPr>
          <w:rFonts w:ascii="Times New Roman" w:hAnsi="Times New Roman"/>
          <w:i/>
          <w:sz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- ГОСТ </w:t>
      </w:r>
      <w:proofErr w:type="gramStart"/>
      <w:r>
        <w:rPr>
          <w:rFonts w:ascii="Times New Roman" w:hAnsi="Times New Roman"/>
          <w:i/>
          <w:sz w:val="22"/>
        </w:rPr>
        <w:t>Р</w:t>
      </w:r>
      <w:proofErr w:type="gramEnd"/>
      <w:r>
        <w:rPr>
          <w:rFonts w:ascii="Times New Roman" w:hAnsi="Times New Roman"/>
          <w:i/>
          <w:sz w:val="22"/>
        </w:rPr>
        <w:t xml:space="preserve"> 58235-2018 «Специальные средства при нарушении функции выделения. Термины и определения. Классификация»,</w:t>
      </w: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- ГОСТ </w:t>
      </w:r>
      <w:proofErr w:type="gramStart"/>
      <w:r>
        <w:rPr>
          <w:rFonts w:ascii="Times New Roman" w:hAnsi="Times New Roman"/>
          <w:i/>
          <w:sz w:val="22"/>
        </w:rPr>
        <w:t>Р</w:t>
      </w:r>
      <w:proofErr w:type="gramEnd"/>
      <w:r>
        <w:rPr>
          <w:rFonts w:ascii="Times New Roman" w:hAnsi="Times New Roman"/>
          <w:i/>
          <w:sz w:val="22"/>
        </w:rPr>
        <w:t xml:space="preserve"> 58237-2018 «Средства ухода за кишечными </w:t>
      </w:r>
      <w:proofErr w:type="spellStart"/>
      <w:r>
        <w:rPr>
          <w:rFonts w:ascii="Times New Roman" w:hAnsi="Times New Roman"/>
          <w:i/>
          <w:sz w:val="22"/>
        </w:rPr>
        <w:t>стомами</w:t>
      </w:r>
      <w:proofErr w:type="spellEnd"/>
      <w:r>
        <w:rPr>
          <w:rFonts w:ascii="Times New Roman" w:hAnsi="Times New Roman"/>
          <w:i/>
          <w:sz w:val="22"/>
        </w:rPr>
        <w:t xml:space="preserve">: калоприемники, вспомогательные средства и средства ухода за кожей вокруг </w:t>
      </w:r>
      <w:proofErr w:type="spellStart"/>
      <w:r>
        <w:rPr>
          <w:rFonts w:ascii="Times New Roman" w:hAnsi="Times New Roman"/>
          <w:i/>
          <w:sz w:val="22"/>
        </w:rPr>
        <w:t>стомы</w:t>
      </w:r>
      <w:proofErr w:type="spellEnd"/>
      <w:r>
        <w:rPr>
          <w:rFonts w:ascii="Times New Roman" w:hAnsi="Times New Roman"/>
          <w:i/>
          <w:sz w:val="22"/>
        </w:rPr>
        <w:t>. Характеристики и основные требования. Методы испытаний»,</w:t>
      </w: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- ГОСТ ИСО 10993-1-2021 Межгосударственный стандарт «Изделия медицинские. Оценка биологического действия медицинских изделий. Часть 1. Оценка и исследования в процессе менеджмента риска»,</w:t>
      </w: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/>
          <w:i/>
          <w:sz w:val="22"/>
        </w:rPr>
        <w:t>цитотоксичность</w:t>
      </w:r>
      <w:proofErr w:type="spellEnd"/>
      <w:r>
        <w:rPr>
          <w:rFonts w:ascii="Times New Roman" w:hAnsi="Times New Roman"/>
          <w:i/>
          <w:sz w:val="22"/>
        </w:rPr>
        <w:t xml:space="preserve">: методы </w:t>
      </w:r>
      <w:proofErr w:type="spellStart"/>
      <w:r>
        <w:rPr>
          <w:rFonts w:ascii="Times New Roman" w:hAnsi="Times New Roman"/>
          <w:i/>
          <w:sz w:val="22"/>
        </w:rPr>
        <w:t>in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vitro</w:t>
      </w:r>
      <w:proofErr w:type="spellEnd"/>
      <w:r>
        <w:rPr>
          <w:rFonts w:ascii="Times New Roman" w:hAnsi="Times New Roman"/>
          <w:i/>
          <w:sz w:val="22"/>
        </w:rPr>
        <w:t>»,</w:t>
      </w: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- ГОСТ </w:t>
      </w:r>
      <w:proofErr w:type="gramStart"/>
      <w:r>
        <w:rPr>
          <w:rFonts w:ascii="Times New Roman" w:hAnsi="Times New Roman"/>
          <w:i/>
          <w:sz w:val="22"/>
        </w:rPr>
        <w:t>Р</w:t>
      </w:r>
      <w:proofErr w:type="gramEnd"/>
      <w:r>
        <w:rPr>
          <w:rFonts w:ascii="Times New Roman" w:hAnsi="Times New Roman"/>
          <w:i/>
          <w:sz w:val="22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Срок службы товара не менее сроков,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</w:t>
      </w:r>
      <w:proofErr w:type="gramStart"/>
      <w:r>
        <w:rPr>
          <w:rFonts w:ascii="Times New Roman" w:hAnsi="Times New Roman"/>
          <w:i/>
          <w:sz w:val="22"/>
        </w:rPr>
        <w:t>Р</w:t>
      </w:r>
      <w:proofErr w:type="gramEnd"/>
      <w:r>
        <w:rPr>
          <w:rFonts w:ascii="Times New Roman" w:hAnsi="Times New Roman"/>
          <w:i/>
          <w:sz w:val="22"/>
        </w:rPr>
        <w:t xml:space="preserve"> 51632-2021 «Технические средства реабилитации людей с ограничениями жизнедеятельности. </w:t>
      </w:r>
      <w:proofErr w:type="gramStart"/>
      <w:r>
        <w:rPr>
          <w:rFonts w:ascii="Times New Roman" w:hAnsi="Times New Roman"/>
          <w:i/>
          <w:sz w:val="22"/>
        </w:rPr>
        <w:t>Общие технические требования и методы испытаний»).</w:t>
      </w:r>
      <w:proofErr w:type="gramEnd"/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Инструкция, содержащая информацию по применению специальных сре</w:t>
      </w:r>
      <w:proofErr w:type="gramStart"/>
      <w:r>
        <w:rPr>
          <w:rFonts w:ascii="Times New Roman" w:hAnsi="Times New Roman"/>
          <w:i/>
          <w:sz w:val="22"/>
        </w:rPr>
        <w:t>дств пр</w:t>
      </w:r>
      <w:proofErr w:type="gramEnd"/>
      <w:r>
        <w:rPr>
          <w:rFonts w:ascii="Times New Roman" w:hAnsi="Times New Roman"/>
          <w:i/>
          <w:sz w:val="22"/>
        </w:rPr>
        <w:t>и нарушении функции выделения, должна быть вложена в каждую упаковку поставляемого товара.</w:t>
      </w:r>
    </w:p>
    <w:p w:rsidR="00C15751" w:rsidRDefault="00C15751" w:rsidP="00C15751">
      <w:pPr>
        <w:widowControl w:val="0"/>
        <w:ind w:firstLine="709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826D11" w:rsidRDefault="00826D11" w:rsidP="00CE4EB9">
      <w:pPr>
        <w:widowControl w:val="0"/>
        <w:contextualSpacing/>
        <w:jc w:val="both"/>
        <w:rPr>
          <w:rFonts w:ascii="Times New Roman" w:hAnsi="Times New Roman"/>
          <w:i/>
        </w:rPr>
      </w:pPr>
      <w:bookmarkStart w:id="0" w:name="_GoBack"/>
      <w:bookmarkEnd w:id="0"/>
    </w:p>
    <w:sectPr w:rsidR="00826D11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4625C"/>
    <w:rsid w:val="0009351D"/>
    <w:rsid w:val="000A44D1"/>
    <w:rsid w:val="000C139A"/>
    <w:rsid w:val="000E1DBE"/>
    <w:rsid w:val="000E39C2"/>
    <w:rsid w:val="000E4B42"/>
    <w:rsid w:val="000F2539"/>
    <w:rsid w:val="00126336"/>
    <w:rsid w:val="00130336"/>
    <w:rsid w:val="00187FDF"/>
    <w:rsid w:val="001A79B7"/>
    <w:rsid w:val="0021016F"/>
    <w:rsid w:val="00210B80"/>
    <w:rsid w:val="00274197"/>
    <w:rsid w:val="00276782"/>
    <w:rsid w:val="00283697"/>
    <w:rsid w:val="00285454"/>
    <w:rsid w:val="0029202D"/>
    <w:rsid w:val="002A1BA2"/>
    <w:rsid w:val="002F17BE"/>
    <w:rsid w:val="002F22BB"/>
    <w:rsid w:val="003138D3"/>
    <w:rsid w:val="003F6B80"/>
    <w:rsid w:val="00427F25"/>
    <w:rsid w:val="00455544"/>
    <w:rsid w:val="00455F4E"/>
    <w:rsid w:val="00465A89"/>
    <w:rsid w:val="00467593"/>
    <w:rsid w:val="0047584A"/>
    <w:rsid w:val="004958E1"/>
    <w:rsid w:val="00515E60"/>
    <w:rsid w:val="005328E9"/>
    <w:rsid w:val="005623D6"/>
    <w:rsid w:val="00564525"/>
    <w:rsid w:val="00572672"/>
    <w:rsid w:val="005E46A0"/>
    <w:rsid w:val="00632969"/>
    <w:rsid w:val="0063714E"/>
    <w:rsid w:val="00670FAA"/>
    <w:rsid w:val="00734101"/>
    <w:rsid w:val="00744A4E"/>
    <w:rsid w:val="00760E44"/>
    <w:rsid w:val="0078277F"/>
    <w:rsid w:val="00787679"/>
    <w:rsid w:val="007B5AE9"/>
    <w:rsid w:val="007C6DB5"/>
    <w:rsid w:val="007F213E"/>
    <w:rsid w:val="008247E5"/>
    <w:rsid w:val="00826D11"/>
    <w:rsid w:val="00835849"/>
    <w:rsid w:val="008401D3"/>
    <w:rsid w:val="00852ED6"/>
    <w:rsid w:val="0089207B"/>
    <w:rsid w:val="00897697"/>
    <w:rsid w:val="008C28FD"/>
    <w:rsid w:val="008E4DED"/>
    <w:rsid w:val="00904570"/>
    <w:rsid w:val="009269CE"/>
    <w:rsid w:val="0097373D"/>
    <w:rsid w:val="00994509"/>
    <w:rsid w:val="009C28D2"/>
    <w:rsid w:val="00A31631"/>
    <w:rsid w:val="00A32E52"/>
    <w:rsid w:val="00A72D7B"/>
    <w:rsid w:val="00A73D0C"/>
    <w:rsid w:val="00AB4016"/>
    <w:rsid w:val="00AB6F38"/>
    <w:rsid w:val="00B139FE"/>
    <w:rsid w:val="00B80C64"/>
    <w:rsid w:val="00B8640E"/>
    <w:rsid w:val="00B877A8"/>
    <w:rsid w:val="00BA5890"/>
    <w:rsid w:val="00BE0848"/>
    <w:rsid w:val="00C15751"/>
    <w:rsid w:val="00C6589D"/>
    <w:rsid w:val="00C71627"/>
    <w:rsid w:val="00CA094E"/>
    <w:rsid w:val="00CA6BA0"/>
    <w:rsid w:val="00CB37B2"/>
    <w:rsid w:val="00CC6DBE"/>
    <w:rsid w:val="00CD2F9F"/>
    <w:rsid w:val="00CD6FD1"/>
    <w:rsid w:val="00CE4EB9"/>
    <w:rsid w:val="00D25D3C"/>
    <w:rsid w:val="00D35C7C"/>
    <w:rsid w:val="00DB4E5C"/>
    <w:rsid w:val="00DF1F5A"/>
    <w:rsid w:val="00E33B57"/>
    <w:rsid w:val="00E70F8F"/>
    <w:rsid w:val="00E762E9"/>
    <w:rsid w:val="00E80107"/>
    <w:rsid w:val="00E8108F"/>
    <w:rsid w:val="00EB7039"/>
    <w:rsid w:val="00EE1B3A"/>
    <w:rsid w:val="00F16B1A"/>
    <w:rsid w:val="00F96A7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Лукина Алина Андреевна</cp:lastModifiedBy>
  <cp:revision>90</cp:revision>
  <cp:lastPrinted>2019-11-21T11:25:00Z</cp:lastPrinted>
  <dcterms:created xsi:type="dcterms:W3CDTF">2016-04-12T13:14:00Z</dcterms:created>
  <dcterms:modified xsi:type="dcterms:W3CDTF">2022-09-16T07:03:00Z</dcterms:modified>
</cp:coreProperties>
</file>