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2" w:rsidRDefault="00FF7902" w:rsidP="00FF7902">
      <w:pPr>
        <w:jc w:val="both"/>
        <w:rPr>
          <w:b/>
        </w:rPr>
      </w:pPr>
    </w:p>
    <w:p w:rsidR="00C13BAF" w:rsidRDefault="00C13BAF" w:rsidP="009A4C9B">
      <w:pPr>
        <w:spacing w:after="160" w:line="259" w:lineRule="auto"/>
        <w:jc w:val="both"/>
        <w:rPr>
          <w:b/>
          <w:bCs/>
          <w:kern w:val="1"/>
        </w:rPr>
      </w:pPr>
      <w:r>
        <w:rPr>
          <w:b/>
          <w:bCs/>
          <w:kern w:val="2"/>
        </w:rPr>
        <w:t>Место выполнения работ:</w:t>
      </w:r>
      <w:r w:rsidRPr="00C13BAF">
        <w:t xml:space="preserve"> Осуществить снятие мерок, примерку и выдачу готовых Изделий в специализированных помещениях по месту нахождения Подрядчика.</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0102" w:rsidRPr="00F20102">
        <w:t>Выдать готовое изделие, соответствующее техническому заданию контракта непосредственно Получателю на основании направления в не более 60 календарных дней с момента получения от Заказчика списков Получателей, Последняя выд</w:t>
      </w:r>
      <w:bookmarkStart w:id="0" w:name="_GoBack"/>
      <w:bookmarkEnd w:id="0"/>
      <w:r w:rsidR="00F20102" w:rsidRPr="00F20102">
        <w:t xml:space="preserve">ача Изделий Получателям в рамках государственного контракта должна быть осуществлена не позднее 30 </w:t>
      </w:r>
      <w:r w:rsidR="0032596B">
        <w:rPr>
          <w:rFonts w:eastAsia="Andale Sans UI"/>
          <w:kern w:val="2"/>
          <w:lang w:eastAsia="ar-SA"/>
        </w:rPr>
        <w:t xml:space="preserve">ноября </w:t>
      </w:r>
      <w:r w:rsidR="00F20102" w:rsidRPr="00F20102">
        <w:t>2022.</w:t>
      </w:r>
    </w:p>
    <w:p w:rsidR="00D7115C"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534"/>
        <w:gridCol w:w="2480"/>
        <w:gridCol w:w="4051"/>
        <w:gridCol w:w="1741"/>
        <w:gridCol w:w="733"/>
        <w:gridCol w:w="656"/>
      </w:tblGrid>
      <w:tr w:rsidR="00C937D4" w:rsidRPr="00C937D4" w:rsidTr="00C937D4">
        <w:trPr>
          <w:trHeight w:val="1398"/>
        </w:trPr>
        <w:tc>
          <w:tcPr>
            <w:tcW w:w="328" w:type="pct"/>
            <w:tcBorders>
              <w:top w:val="single" w:sz="4" w:space="0" w:color="000000"/>
              <w:left w:val="single" w:sz="4" w:space="0" w:color="000000"/>
              <w:bottom w:val="single" w:sz="4" w:space="0" w:color="000000"/>
              <w:right w:val="nil"/>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w:t>
            </w:r>
          </w:p>
          <w:p w:rsidR="00C937D4" w:rsidRPr="00C937D4" w:rsidRDefault="00C937D4" w:rsidP="00C937D4">
            <w:pPr>
              <w:autoSpaceDE w:val="0"/>
              <w:autoSpaceDN w:val="0"/>
              <w:adjustRightInd w:val="0"/>
              <w:jc w:val="center"/>
              <w:rPr>
                <w:sz w:val="22"/>
                <w:szCs w:val="22"/>
              </w:rPr>
            </w:pPr>
            <w:r w:rsidRPr="00C937D4">
              <w:rPr>
                <w:sz w:val="22"/>
                <w:szCs w:val="22"/>
              </w:rPr>
              <w:t>п/п</w:t>
            </w:r>
          </w:p>
        </w:tc>
        <w:tc>
          <w:tcPr>
            <w:tcW w:w="920" w:type="pct"/>
            <w:tcBorders>
              <w:top w:val="single" w:sz="4" w:space="0" w:color="000000"/>
              <w:left w:val="single" w:sz="4" w:space="0" w:color="000000"/>
              <w:bottom w:val="single" w:sz="4" w:space="0" w:color="000000"/>
              <w:right w:val="nil"/>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 xml:space="preserve">Наименование </w:t>
            </w:r>
          </w:p>
        </w:tc>
        <w:tc>
          <w:tcPr>
            <w:tcW w:w="2053" w:type="pct"/>
            <w:tcBorders>
              <w:top w:val="single" w:sz="4" w:space="0" w:color="000000"/>
              <w:left w:val="single" w:sz="4" w:space="0" w:color="000000"/>
              <w:bottom w:val="single" w:sz="4" w:space="0" w:color="auto"/>
              <w:right w:val="nil"/>
            </w:tcBorders>
            <w:vAlign w:val="center"/>
            <w:hideMark/>
          </w:tcPr>
          <w:p w:rsidR="00C937D4" w:rsidRPr="00355BFD" w:rsidRDefault="00C937D4" w:rsidP="00C937D4">
            <w:pPr>
              <w:contextualSpacing/>
              <w:jc w:val="center"/>
            </w:pPr>
            <w:r w:rsidRPr="00355BFD">
              <w:rPr>
                <w:sz w:val="20"/>
                <w:szCs w:val="20"/>
              </w:rPr>
              <w:t>Наименование показателя</w:t>
            </w:r>
            <w:r w:rsidRPr="00355BFD">
              <w:rPr>
                <w:vertAlign w:val="superscript"/>
              </w:rPr>
              <w:footnoteReference w:id="1"/>
            </w:r>
          </w:p>
          <w:p w:rsidR="00C937D4" w:rsidRPr="00355BFD" w:rsidRDefault="00C937D4" w:rsidP="00C937D4">
            <w:pPr>
              <w:contextualSpacing/>
              <w:jc w:val="center"/>
              <w:rPr>
                <w:color w:val="FF0000"/>
                <w:sz w:val="20"/>
                <w:szCs w:val="20"/>
              </w:rPr>
            </w:pPr>
            <w:r w:rsidRPr="00355BFD">
              <w:rPr>
                <w:color w:val="FF0000"/>
                <w:sz w:val="20"/>
                <w:szCs w:val="20"/>
              </w:rPr>
              <w:t>(неизменяемое)</w:t>
            </w:r>
          </w:p>
        </w:tc>
        <w:tc>
          <w:tcPr>
            <w:tcW w:w="920" w:type="pct"/>
            <w:tcBorders>
              <w:top w:val="single" w:sz="4" w:space="0" w:color="000000"/>
              <w:left w:val="single" w:sz="4" w:space="0" w:color="000000"/>
              <w:bottom w:val="single" w:sz="4" w:space="0" w:color="000000"/>
              <w:right w:val="nil"/>
            </w:tcBorders>
            <w:vAlign w:val="center"/>
            <w:hideMark/>
          </w:tcPr>
          <w:p w:rsidR="00C937D4" w:rsidRPr="00355BFD" w:rsidRDefault="00C937D4" w:rsidP="00C937D4">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2"/>
            </w:r>
          </w:p>
          <w:p w:rsidR="00C937D4" w:rsidRPr="00355BFD" w:rsidRDefault="00C937D4" w:rsidP="00C937D4">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425" w:type="pct"/>
            <w:tcBorders>
              <w:top w:val="single" w:sz="4" w:space="0" w:color="auto"/>
              <w:left w:val="single" w:sz="4" w:space="0" w:color="auto"/>
              <w:bottom w:val="single" w:sz="4" w:space="0" w:color="auto"/>
              <w:right w:val="single" w:sz="4" w:space="0" w:color="auto"/>
            </w:tcBorders>
            <w:vAlign w:val="center"/>
          </w:tcPr>
          <w:p w:rsidR="00C937D4" w:rsidRPr="00C937D4" w:rsidRDefault="00C937D4" w:rsidP="00C937D4">
            <w:pPr>
              <w:autoSpaceDE w:val="0"/>
              <w:autoSpaceDN w:val="0"/>
              <w:adjustRightInd w:val="0"/>
              <w:jc w:val="center"/>
              <w:rPr>
                <w:sz w:val="22"/>
                <w:szCs w:val="22"/>
              </w:rPr>
            </w:pPr>
            <w:r w:rsidRPr="00C937D4">
              <w:rPr>
                <w:sz w:val="22"/>
                <w:szCs w:val="22"/>
              </w:rPr>
              <w:t>Ед. изм.</w:t>
            </w:r>
          </w:p>
        </w:tc>
        <w:tc>
          <w:tcPr>
            <w:tcW w:w="354" w:type="pct"/>
            <w:tcBorders>
              <w:top w:val="single" w:sz="4" w:space="0" w:color="auto"/>
              <w:left w:val="single" w:sz="4" w:space="0" w:color="auto"/>
              <w:bottom w:val="single" w:sz="4" w:space="0" w:color="auto"/>
              <w:right w:val="single" w:sz="4" w:space="0" w:color="auto"/>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Кол-во</w:t>
            </w:r>
          </w:p>
        </w:tc>
      </w:tr>
      <w:tr w:rsidR="0032596B" w:rsidRPr="00C937D4" w:rsidTr="00C937D4">
        <w:trPr>
          <w:trHeight w:val="257"/>
        </w:trPr>
        <w:tc>
          <w:tcPr>
            <w:tcW w:w="328" w:type="pct"/>
            <w:tcBorders>
              <w:top w:val="single" w:sz="4" w:space="0" w:color="000000"/>
              <w:left w:val="single" w:sz="4" w:space="0" w:color="000000"/>
              <w:bottom w:val="single" w:sz="4" w:space="0" w:color="000000"/>
              <w:right w:val="nil"/>
            </w:tcBorders>
            <w:hideMark/>
          </w:tcPr>
          <w:p w:rsidR="0032596B" w:rsidRPr="00C937D4" w:rsidRDefault="0032596B" w:rsidP="0032596B">
            <w:pPr>
              <w:autoSpaceDE w:val="0"/>
              <w:autoSpaceDN w:val="0"/>
              <w:adjustRightInd w:val="0"/>
              <w:jc w:val="center"/>
              <w:rPr>
                <w:sz w:val="22"/>
                <w:szCs w:val="22"/>
              </w:rPr>
            </w:pPr>
            <w:r w:rsidRPr="00C937D4">
              <w:rPr>
                <w:sz w:val="22"/>
                <w:szCs w:val="22"/>
              </w:rPr>
              <w:t>1.</w:t>
            </w:r>
          </w:p>
        </w:tc>
        <w:tc>
          <w:tcPr>
            <w:tcW w:w="920" w:type="pct"/>
            <w:tcBorders>
              <w:top w:val="single" w:sz="4" w:space="0" w:color="000000"/>
              <w:left w:val="single" w:sz="4" w:space="0" w:color="000000"/>
              <w:bottom w:val="single" w:sz="4" w:space="0" w:color="000000"/>
              <w:right w:val="single" w:sz="4" w:space="0" w:color="auto"/>
            </w:tcBorders>
          </w:tcPr>
          <w:p w:rsidR="0032596B" w:rsidRPr="00F662BD" w:rsidRDefault="0032596B" w:rsidP="0032596B">
            <w:r w:rsidRPr="00F77601">
              <w:t>Протез после вычленения плеча с электромеханическим приводом и контактной системой управления</w:t>
            </w:r>
          </w:p>
        </w:tc>
        <w:tc>
          <w:tcPr>
            <w:tcW w:w="2053" w:type="pct"/>
            <w:tcBorders>
              <w:top w:val="single" w:sz="4" w:space="0" w:color="auto"/>
              <w:left w:val="single" w:sz="4" w:space="0" w:color="auto"/>
              <w:bottom w:val="single" w:sz="4" w:space="0" w:color="auto"/>
              <w:right w:val="single" w:sz="4" w:space="0" w:color="auto"/>
            </w:tcBorders>
          </w:tcPr>
          <w:p w:rsidR="0032596B" w:rsidRPr="00F77601" w:rsidRDefault="0032596B" w:rsidP="0032596B">
            <w:pPr>
              <w:jc w:val="both"/>
            </w:pPr>
            <w:r w:rsidRPr="00F77601">
              <w:t>Протез после вычленения плеча с электромеханическим приводом и контактной системой управления, с приемной гильзой по слепку. Протез после вычленения плеча с электромеханическим приводом и контактной системой управления предназначен для обеспечения действий инвалидов по самообслуживанию.</w:t>
            </w:r>
          </w:p>
          <w:p w:rsidR="0032596B" w:rsidRPr="00F77601" w:rsidRDefault="0032596B" w:rsidP="0032596B">
            <w:pPr>
              <w:jc w:val="both"/>
            </w:pPr>
            <w:r w:rsidRPr="00F77601">
              <w:t>Протез изготавливается по индивидуальному техпроцессу для сложного протезирования, примерочный наплечник из термопласта, постоянный – из слоистого пластика на основе акриловых смол и высокотемпературного силикона медицинского назначения с металлическими закладными элементами.</w:t>
            </w:r>
          </w:p>
          <w:p w:rsidR="0032596B" w:rsidRPr="00F77601" w:rsidRDefault="0032596B" w:rsidP="0032596B">
            <w:pPr>
              <w:jc w:val="both"/>
            </w:pPr>
            <w:r w:rsidRPr="00F77601">
              <w:t xml:space="preserve">Протез после вычленения плеча с электромеханическим приводом и контактной системой управления состоит из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системной </w:t>
            </w:r>
            <w:proofErr w:type="spellStart"/>
            <w:r w:rsidRPr="00F77601">
              <w:t>электрокисти</w:t>
            </w:r>
            <w:proofErr w:type="spellEnd"/>
            <w:r w:rsidRPr="00F77601">
              <w:t xml:space="preserve">, системы управления и электропитания </w:t>
            </w:r>
          </w:p>
          <w:p w:rsidR="0032596B" w:rsidRPr="00F77601" w:rsidRDefault="0032596B" w:rsidP="0032596B">
            <w:pPr>
              <w:jc w:val="both"/>
            </w:pPr>
            <w:r w:rsidRPr="00F77601">
              <w:t xml:space="preserve">Плечевой модуль представляет собой искусственный плечевой сустав, который может работать в режиме свободного качания и плечевого </w:t>
            </w:r>
            <w:r w:rsidRPr="00F77601">
              <w:lastRenderedPageBreak/>
              <w:t xml:space="preserve">замка. В стандартной настройке замок управляется с помощью ручки на самом плечевом суставе. Для выполнения того же действия на месте ручки может быть установлен комплект для снятия блокировки с помощью рычага, управляемого подбородком. </w:t>
            </w:r>
          </w:p>
          <w:p w:rsidR="0032596B" w:rsidRPr="00F77601" w:rsidRDefault="0032596B" w:rsidP="0032596B">
            <w:pPr>
              <w:jc w:val="both"/>
            </w:pPr>
            <w:r w:rsidRPr="00F77601">
              <w:t xml:space="preserve">Плечевой шарнир прикреплен к наплечнику и несущей гильзе плеча. </w:t>
            </w:r>
          </w:p>
          <w:p w:rsidR="0032596B" w:rsidRPr="00F77601" w:rsidRDefault="0032596B" w:rsidP="0032596B">
            <w:pPr>
              <w:jc w:val="both"/>
            </w:pPr>
            <w:r w:rsidRPr="00F77601">
              <w:t xml:space="preserve">Пассивный локтевой модуль с электронным фиксатором присоединен к несущей гильзе плеча с возможностью ротации. Литиево-ионный аккумулятор присоединен к несущей гильзе посредством крепежной рамки. Локтевой модуль присоединен к несущей гильзе плеча с возможностью ротации. Локтевой модуль со сквозным </w:t>
            </w:r>
            <w:proofErr w:type="spellStart"/>
            <w:r w:rsidRPr="00F77601">
              <w:t>электросоединением</w:t>
            </w:r>
            <w:proofErr w:type="spellEnd"/>
            <w:r w:rsidRPr="00F77601">
              <w:t xml:space="preserve"> и усилителем сгибания для биоэлектрических гибридных протезов, с внутренним фиксатором в исполнении без храповика, усилителем сгибания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Кабели электродов и кабель соединения с аккумулятором проходят внутри несущей гильзы и вставляются в гнезда локтевого шара, и затем соединяются с коаксиальным штекером </w:t>
            </w:r>
            <w:proofErr w:type="spellStart"/>
            <w:r w:rsidRPr="00F77601">
              <w:t>электрокисти</w:t>
            </w:r>
            <w:proofErr w:type="spellEnd"/>
            <w:r w:rsidRPr="00F77601">
              <w:t>.</w:t>
            </w:r>
          </w:p>
          <w:p w:rsidR="0032596B" w:rsidRPr="00F662BD" w:rsidRDefault="0032596B" w:rsidP="0032596B">
            <w:pPr>
              <w:jc w:val="both"/>
            </w:pPr>
            <w:r w:rsidRPr="00F77601">
              <w:t xml:space="preserve">Кабели электродов и кабель соединения с аккумулятором проходят внутри несущей гильзы и вставляются в гнезда локтевого шара, и затем соединяются с коаксиальным штекером </w:t>
            </w:r>
            <w:proofErr w:type="spellStart"/>
            <w:r w:rsidRPr="00F77601">
              <w:t>электрокисти</w:t>
            </w:r>
            <w:proofErr w:type="spellEnd"/>
            <w:r w:rsidRPr="00F77601">
              <w:t>. Посредством миниатюрной передачи компактный мощный электродвигатель приводит в движение средний и указательный, а также большой пальцы. В качестве источника энергии служит заряжаемый литиево-ионный аккумулятор. Протез комплектуется косметической оболочкой из силикона.</w:t>
            </w:r>
          </w:p>
        </w:tc>
        <w:tc>
          <w:tcPr>
            <w:tcW w:w="920" w:type="pct"/>
            <w:tcBorders>
              <w:top w:val="single" w:sz="4" w:space="0" w:color="000000"/>
              <w:left w:val="single" w:sz="4" w:space="0" w:color="auto"/>
              <w:bottom w:val="single" w:sz="4" w:space="0" w:color="000000"/>
              <w:right w:val="nil"/>
            </w:tcBorders>
          </w:tcPr>
          <w:p w:rsidR="0032596B" w:rsidRPr="003C0632" w:rsidRDefault="0032596B" w:rsidP="0032596B">
            <w:pPr>
              <w:autoSpaceDE w:val="0"/>
              <w:autoSpaceDN w:val="0"/>
              <w:adjustRightInd w:val="0"/>
              <w:jc w:val="center"/>
              <w:rPr>
                <w:sz w:val="22"/>
                <w:szCs w:val="22"/>
              </w:rPr>
            </w:pPr>
            <w:r w:rsidRPr="003C0632">
              <w:rPr>
                <w:sz w:val="22"/>
                <w:szCs w:val="22"/>
              </w:rPr>
              <w:lastRenderedPageBreak/>
              <w:t>Соответствует</w:t>
            </w:r>
          </w:p>
        </w:tc>
        <w:tc>
          <w:tcPr>
            <w:tcW w:w="425" w:type="pct"/>
            <w:tcBorders>
              <w:top w:val="single" w:sz="4" w:space="0" w:color="auto"/>
              <w:left w:val="single" w:sz="4" w:space="0" w:color="000000"/>
              <w:bottom w:val="single" w:sz="4" w:space="0" w:color="auto"/>
              <w:right w:val="single" w:sz="4" w:space="0" w:color="auto"/>
            </w:tcBorders>
          </w:tcPr>
          <w:p w:rsidR="0032596B" w:rsidRPr="003C0632" w:rsidRDefault="0032596B" w:rsidP="0032596B">
            <w:pPr>
              <w:jc w:val="center"/>
              <w:rPr>
                <w:sz w:val="22"/>
                <w:szCs w:val="22"/>
              </w:rPr>
            </w:pPr>
            <w:r w:rsidRPr="003C0632">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2596B" w:rsidRPr="003C0632" w:rsidRDefault="0032596B" w:rsidP="0032596B">
            <w:pPr>
              <w:autoSpaceDE w:val="0"/>
              <w:autoSpaceDN w:val="0"/>
              <w:adjustRightInd w:val="0"/>
              <w:jc w:val="center"/>
              <w:rPr>
                <w:sz w:val="22"/>
                <w:szCs w:val="22"/>
              </w:rPr>
            </w:pPr>
            <w:r w:rsidRPr="003C0632">
              <w:rPr>
                <w:sz w:val="22"/>
                <w:szCs w:val="22"/>
              </w:rPr>
              <w:t>1</w:t>
            </w:r>
          </w:p>
        </w:tc>
      </w:tr>
    </w:tbl>
    <w:p w:rsidR="00C937D4" w:rsidRDefault="00C937D4" w:rsidP="009A4C9B">
      <w:pPr>
        <w:spacing w:after="160" w:line="259" w:lineRule="auto"/>
        <w:jc w:val="both"/>
      </w:pPr>
    </w:p>
    <w:p w:rsidR="0032596B" w:rsidRDefault="0032596B" w:rsidP="0032596B">
      <w:pPr>
        <w:autoSpaceDE w:val="0"/>
        <w:autoSpaceDN w:val="0"/>
        <w:adjustRightInd w:val="0"/>
        <w:ind w:firstLine="708"/>
        <w:jc w:val="both"/>
      </w:pPr>
      <w:r w:rsidRPr="00EB3E6F">
        <w:t>Соответс</w:t>
      </w:r>
      <w:r>
        <w:t>твие ГОСТа: ГОСТ ISO 10993-1-202</w:t>
      </w:r>
      <w:r w:rsidRPr="00EB3E6F">
        <w:t xml:space="preserve">1 «Межгосударственный стандарт. Изделия медицинские. Оценка биологического действия медицинских изделий.», ГОСТ ISO 10993-5-2011 </w:t>
      </w:r>
      <w:r w:rsidRPr="00EB3E6F">
        <w:lastRenderedPageBreak/>
        <w:t xml:space="preserve">«Межгосударственный стандарт. Изделия медицинские. Оценка биологического действия медицинских изделий. Часть 5. Исследования на </w:t>
      </w:r>
      <w:proofErr w:type="spellStart"/>
      <w:r w:rsidRPr="00EB3E6F">
        <w:t>цитотоксичность</w:t>
      </w:r>
      <w:proofErr w:type="spellEnd"/>
      <w:r w:rsidRPr="00EB3E6F">
        <w:t xml:space="preserve">: методы </w:t>
      </w:r>
      <w:proofErr w:type="spellStart"/>
      <w:r w:rsidRPr="00EB3E6F">
        <w:t>in</w:t>
      </w:r>
      <w:proofErr w:type="spellEnd"/>
      <w:r w:rsidRPr="00EB3E6F">
        <w:t xml:space="preserve"> </w:t>
      </w:r>
      <w:proofErr w:type="spellStart"/>
      <w:r w:rsidRPr="00EB3E6F">
        <w:t>vitro</w:t>
      </w:r>
      <w:proofErr w:type="spellEnd"/>
      <w:r w:rsidRPr="00EB3E6F">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EB3E6F">
        <w:t>ортезы</w:t>
      </w:r>
      <w:proofErr w:type="spellEnd"/>
      <w:r w:rsidRPr="00EB3E6F">
        <w:t xml:space="preserve"> наружные требования и методы испытаний»</w:t>
      </w:r>
    </w:p>
    <w:p w:rsidR="00126DEB" w:rsidRDefault="00126DEB" w:rsidP="00C937D4">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3B" w:rsidRDefault="0054353B" w:rsidP="00D7115C">
      <w:r>
        <w:separator/>
      </w:r>
    </w:p>
  </w:endnote>
  <w:endnote w:type="continuationSeparator" w:id="0">
    <w:p w:rsidR="0054353B" w:rsidRDefault="0054353B"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3B" w:rsidRDefault="0054353B" w:rsidP="00D7115C">
      <w:r>
        <w:separator/>
      </w:r>
    </w:p>
  </w:footnote>
  <w:footnote w:type="continuationSeparator" w:id="0">
    <w:p w:rsidR="0054353B" w:rsidRDefault="0054353B" w:rsidP="00D7115C">
      <w:r>
        <w:continuationSeparator/>
      </w:r>
    </w:p>
  </w:footnote>
  <w:footnote w:id="1">
    <w:p w:rsidR="00C937D4" w:rsidRDefault="00C937D4"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2">
    <w:p w:rsidR="00C937D4" w:rsidRPr="00985908" w:rsidRDefault="00C937D4"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95EEB"/>
    <w:rsid w:val="001A1B23"/>
    <w:rsid w:val="001C1494"/>
    <w:rsid w:val="00251D72"/>
    <w:rsid w:val="00292377"/>
    <w:rsid w:val="00310864"/>
    <w:rsid w:val="003210F2"/>
    <w:rsid w:val="0032596B"/>
    <w:rsid w:val="003322AA"/>
    <w:rsid w:val="00333A18"/>
    <w:rsid w:val="003C0632"/>
    <w:rsid w:val="003D486E"/>
    <w:rsid w:val="003E36EE"/>
    <w:rsid w:val="00427C62"/>
    <w:rsid w:val="00457089"/>
    <w:rsid w:val="004667AA"/>
    <w:rsid w:val="004B058A"/>
    <w:rsid w:val="004C04C5"/>
    <w:rsid w:val="004C1D05"/>
    <w:rsid w:val="004D497F"/>
    <w:rsid w:val="004F2140"/>
    <w:rsid w:val="0054353B"/>
    <w:rsid w:val="00585EDA"/>
    <w:rsid w:val="005935A0"/>
    <w:rsid w:val="005D4418"/>
    <w:rsid w:val="005F2386"/>
    <w:rsid w:val="0064079A"/>
    <w:rsid w:val="006748AA"/>
    <w:rsid w:val="006F603A"/>
    <w:rsid w:val="007214BD"/>
    <w:rsid w:val="007670F9"/>
    <w:rsid w:val="007A0C01"/>
    <w:rsid w:val="007C105E"/>
    <w:rsid w:val="007F2A0B"/>
    <w:rsid w:val="00812F5F"/>
    <w:rsid w:val="00842A50"/>
    <w:rsid w:val="00852E8C"/>
    <w:rsid w:val="00896D3D"/>
    <w:rsid w:val="008A00DE"/>
    <w:rsid w:val="008A35F0"/>
    <w:rsid w:val="008D1CE7"/>
    <w:rsid w:val="009226AD"/>
    <w:rsid w:val="009277FE"/>
    <w:rsid w:val="009A4C9B"/>
    <w:rsid w:val="009C26AF"/>
    <w:rsid w:val="00A10A2B"/>
    <w:rsid w:val="00A520C7"/>
    <w:rsid w:val="00A54B05"/>
    <w:rsid w:val="00A978CB"/>
    <w:rsid w:val="00AC04AF"/>
    <w:rsid w:val="00AD58F0"/>
    <w:rsid w:val="00B201AE"/>
    <w:rsid w:val="00B45B9E"/>
    <w:rsid w:val="00B63052"/>
    <w:rsid w:val="00BB7977"/>
    <w:rsid w:val="00BD0B4D"/>
    <w:rsid w:val="00BE167F"/>
    <w:rsid w:val="00C13BAF"/>
    <w:rsid w:val="00C1613C"/>
    <w:rsid w:val="00C937D4"/>
    <w:rsid w:val="00CA3011"/>
    <w:rsid w:val="00CA4582"/>
    <w:rsid w:val="00CB0C96"/>
    <w:rsid w:val="00CB473D"/>
    <w:rsid w:val="00CC1AB3"/>
    <w:rsid w:val="00CE28E3"/>
    <w:rsid w:val="00CF1971"/>
    <w:rsid w:val="00D01082"/>
    <w:rsid w:val="00D20ED9"/>
    <w:rsid w:val="00D7115C"/>
    <w:rsid w:val="00D8164D"/>
    <w:rsid w:val="00D865A8"/>
    <w:rsid w:val="00DB3240"/>
    <w:rsid w:val="00DC4D5C"/>
    <w:rsid w:val="00E35808"/>
    <w:rsid w:val="00E46D81"/>
    <w:rsid w:val="00ED4626"/>
    <w:rsid w:val="00F20102"/>
    <w:rsid w:val="00F34F37"/>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54</cp:revision>
  <dcterms:created xsi:type="dcterms:W3CDTF">2020-08-12T05:43:00Z</dcterms:created>
  <dcterms:modified xsi:type="dcterms:W3CDTF">2022-05-17T13:03:00Z</dcterms:modified>
</cp:coreProperties>
</file>