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85" w:rsidRPr="00483574" w:rsidRDefault="00E46385" w:rsidP="00E46385">
      <w:pPr>
        <w:jc w:val="right"/>
        <w:rPr>
          <w:b/>
        </w:rPr>
      </w:pPr>
      <w:r w:rsidRPr="00483574">
        <w:rPr>
          <w:b/>
          <w:lang w:eastAsia="ar-SA"/>
        </w:rPr>
        <w:t>Приложение №</w:t>
      </w:r>
      <w:r w:rsidR="00BE1C19" w:rsidRPr="00483574">
        <w:rPr>
          <w:b/>
          <w:lang w:eastAsia="ar-SA"/>
        </w:rPr>
        <w:t xml:space="preserve"> </w:t>
      </w:r>
      <w:r w:rsidRPr="00483574">
        <w:rPr>
          <w:b/>
          <w:lang w:eastAsia="ar-SA"/>
        </w:rPr>
        <w:t>1 к Извещению</w:t>
      </w:r>
      <w:r w:rsidRPr="00483574">
        <w:rPr>
          <w:b/>
        </w:rPr>
        <w:t xml:space="preserve"> о проведении электронного </w:t>
      </w:r>
      <w:r w:rsidR="00CF0ED1" w:rsidRPr="00483574">
        <w:rPr>
          <w:b/>
        </w:rPr>
        <w:t>конкурса</w:t>
      </w:r>
    </w:p>
    <w:p w:rsidR="00E46385" w:rsidRPr="00483574" w:rsidRDefault="00E46385" w:rsidP="00E46385">
      <w:pPr>
        <w:jc w:val="center"/>
        <w:rPr>
          <w:b/>
        </w:rPr>
      </w:pPr>
    </w:p>
    <w:p w:rsidR="00E46385" w:rsidRPr="00483574" w:rsidRDefault="00E46385" w:rsidP="00E46385">
      <w:pPr>
        <w:jc w:val="center"/>
        <w:rPr>
          <w:b/>
        </w:rPr>
      </w:pPr>
      <w:r w:rsidRPr="00483574">
        <w:rPr>
          <w:b/>
        </w:rPr>
        <w:t>Техническое задание (описание объекта закупки)</w:t>
      </w:r>
    </w:p>
    <w:p w:rsidR="00556F59" w:rsidRPr="00556F59" w:rsidRDefault="00E46385" w:rsidP="00556F59">
      <w:pPr>
        <w:jc w:val="center"/>
        <w:rPr>
          <w:rFonts w:eastAsia="Lucida Sans Unicode"/>
          <w:b/>
          <w:bCs/>
          <w:kern w:val="1"/>
        </w:rPr>
      </w:pPr>
      <w:r w:rsidRPr="00483574">
        <w:rPr>
          <w:b/>
        </w:rPr>
        <w:t xml:space="preserve"> на </w:t>
      </w:r>
      <w:r w:rsidR="00556F59" w:rsidRPr="00556F59">
        <w:rPr>
          <w:rFonts w:eastAsia="Lucida Sans Unicode"/>
          <w:b/>
          <w:bCs/>
          <w:kern w:val="1"/>
        </w:rPr>
        <w:t xml:space="preserve">выполнение работ по изготовлению в 2023 году </w:t>
      </w:r>
      <w:r w:rsidR="00556F59" w:rsidRPr="00556F59">
        <w:rPr>
          <w:rFonts w:eastAsia="Lucida Sans Unicode"/>
          <w:b/>
          <w:kern w:val="1"/>
        </w:rPr>
        <w:t>протеза бедра модульного с микропроцессорным управлением</w:t>
      </w:r>
      <w:r w:rsidR="00556F59" w:rsidRPr="00556F59">
        <w:rPr>
          <w:rFonts w:eastAsia="Lucida Sans Unicode"/>
          <w:b/>
          <w:bCs/>
          <w:kern w:val="1"/>
        </w:rPr>
        <w:t xml:space="preserve"> для обеспечения застрахованного лица, получившего повреждение здоровья вследствие несчастного случая на производстве</w:t>
      </w:r>
      <w:r w:rsidR="00556F59" w:rsidRPr="00556F59">
        <w:rPr>
          <w:rFonts w:eastAsia="Lucida Sans Unicode"/>
          <w:b/>
          <w:bCs/>
          <w:color w:val="000000"/>
          <w:kern w:val="1"/>
        </w:rPr>
        <w:t>.</w:t>
      </w:r>
    </w:p>
    <w:p w:rsidR="00E46385" w:rsidRPr="00483574" w:rsidRDefault="00E46385" w:rsidP="00E46385">
      <w:pPr>
        <w:ind w:firstLine="709"/>
        <w:contextualSpacing/>
        <w:jc w:val="both"/>
        <w:rPr>
          <w:b/>
        </w:rPr>
      </w:pPr>
    </w:p>
    <w:p w:rsidR="00E46385" w:rsidRPr="00483574" w:rsidRDefault="00E46385" w:rsidP="00E46385">
      <w:pPr>
        <w:ind w:firstLine="709"/>
        <w:contextualSpacing/>
        <w:jc w:val="both"/>
        <w:rPr>
          <w:rFonts w:eastAsia="Lucida Sans Unicode"/>
          <w:b/>
          <w:kern w:val="2"/>
        </w:rPr>
      </w:pPr>
      <w:r w:rsidRPr="00483574">
        <w:rPr>
          <w:rFonts w:eastAsia="Lucida Sans Unicode"/>
          <w:b/>
          <w:bCs/>
          <w:kern w:val="2"/>
        </w:rPr>
        <w:t xml:space="preserve">1. Общие технические характеристики </w:t>
      </w:r>
      <w:r w:rsidRPr="00483574">
        <w:rPr>
          <w:rFonts w:eastAsia="Lucida Sans Unicode"/>
          <w:b/>
          <w:kern w:val="2"/>
        </w:rPr>
        <w:t>работ:</w:t>
      </w:r>
    </w:p>
    <w:p w:rsidR="0079792D" w:rsidRPr="00483574" w:rsidRDefault="0079792D" w:rsidP="007979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74">
        <w:rPr>
          <w:rFonts w:ascii="Times New Roman" w:hAnsi="Times New Roman" w:cs="Times New Roman"/>
          <w:sz w:val="24"/>
          <w:szCs w:val="24"/>
        </w:rPr>
        <w:t xml:space="preserve">Протез </w:t>
      </w:r>
      <w:r w:rsidR="00153DAA">
        <w:rPr>
          <w:rFonts w:ascii="Times New Roman" w:hAnsi="Times New Roman" w:cs="Times New Roman"/>
          <w:sz w:val="24"/>
          <w:szCs w:val="24"/>
        </w:rPr>
        <w:t>верхней</w:t>
      </w:r>
      <w:r w:rsidRPr="00483574">
        <w:rPr>
          <w:rFonts w:ascii="Times New Roman" w:hAnsi="Times New Roman" w:cs="Times New Roman"/>
          <w:sz w:val="24"/>
          <w:szCs w:val="24"/>
        </w:rPr>
        <w:t xml:space="preserve"> конечности</w:t>
      </w:r>
      <w:r w:rsidR="00483574" w:rsidRPr="00483574">
        <w:rPr>
          <w:rFonts w:ascii="Times New Roman" w:hAnsi="Times New Roman" w:cs="Times New Roman"/>
          <w:sz w:val="24"/>
          <w:szCs w:val="24"/>
        </w:rPr>
        <w:t xml:space="preserve"> </w:t>
      </w:r>
      <w:r w:rsidRPr="00483574">
        <w:rPr>
          <w:rFonts w:ascii="Times New Roman" w:hAnsi="Times New Roman" w:cs="Times New Roman"/>
          <w:sz w:val="24"/>
          <w:szCs w:val="24"/>
        </w:rPr>
        <w:t xml:space="preserve">– техническое устройство, надеваемое на конечность или ее сегмент (сегменты) опорно-двигательного аппарата с целью фиксации, разгрузки для восстановления нарушенных функций (далее – Изделие) застрахованного лица, получившего повреждение здоровья вследствие несчастного случая на производстве (далее – Получатель). </w:t>
      </w:r>
    </w:p>
    <w:p w:rsidR="00AC00A0" w:rsidRPr="00483574" w:rsidRDefault="00E46385" w:rsidP="007D1C22">
      <w:pPr>
        <w:pStyle w:val="ConsPlusNormal"/>
        <w:ind w:firstLine="709"/>
        <w:jc w:val="both"/>
      </w:pPr>
      <w:r w:rsidRPr="00483574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Работы по </w:t>
      </w:r>
      <w:r w:rsidR="002B4C40" w:rsidRPr="00483574">
        <w:rPr>
          <w:rFonts w:ascii="Times New Roman" w:hAnsi="Times New Roman" w:cs="Times New Roman"/>
          <w:sz w:val="24"/>
          <w:szCs w:val="24"/>
        </w:rPr>
        <w:t xml:space="preserve">изготовлению </w:t>
      </w:r>
      <w:r w:rsidR="0079792D" w:rsidRPr="00483574">
        <w:rPr>
          <w:rFonts w:ascii="Times New Roman" w:hAnsi="Times New Roman" w:cs="Times New Roman"/>
          <w:sz w:val="24"/>
          <w:szCs w:val="24"/>
        </w:rPr>
        <w:t>издели</w:t>
      </w:r>
      <w:r w:rsidR="00A4135C" w:rsidRPr="00483574">
        <w:rPr>
          <w:rFonts w:ascii="Times New Roman" w:hAnsi="Times New Roman" w:cs="Times New Roman"/>
          <w:sz w:val="24"/>
          <w:szCs w:val="24"/>
        </w:rPr>
        <w:t>я</w:t>
      </w:r>
      <w:r w:rsidR="004A5BED" w:rsidRPr="00483574"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79792D" w:rsidRPr="00483574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4A5BED" w:rsidRPr="00483574">
        <w:rPr>
          <w:rFonts w:ascii="Times New Roman" w:hAnsi="Times New Roman"/>
          <w:kern w:val="0"/>
          <w:sz w:val="24"/>
        </w:rPr>
        <w:t>включать комплекс медицинских, технических и социальных мероприятий, проводимых с получателем, имеющим нарушения опорно-двигательного аппарата травматологического, ортопедического, неврологического характера и обеспечивать лечение, восстановление и компенсацию утраченных функций организма и неустранимых анатомических дефектов и деформаций конечности</w:t>
      </w:r>
      <w:r w:rsidR="00AC00A0" w:rsidRPr="00483574">
        <w:rPr>
          <w:rFonts w:ascii="Times New Roman" w:hAnsi="Times New Roman" w:cs="Times New Roman"/>
          <w:sz w:val="24"/>
          <w:szCs w:val="24"/>
        </w:rPr>
        <w:t>.</w:t>
      </w:r>
      <w:r w:rsidR="007D1C22" w:rsidRPr="00483574">
        <w:t xml:space="preserve"> </w:t>
      </w:r>
    </w:p>
    <w:p w:rsidR="00E46385" w:rsidRPr="00853429" w:rsidRDefault="00E46385" w:rsidP="001906EC">
      <w:pPr>
        <w:ind w:firstLine="709"/>
        <w:contextualSpacing/>
        <w:jc w:val="both"/>
        <w:rPr>
          <w:b/>
        </w:rPr>
      </w:pPr>
      <w:r w:rsidRPr="00853429">
        <w:rPr>
          <w:b/>
          <w:bCs/>
        </w:rPr>
        <w:t>2. Объем и характеристики работ</w:t>
      </w:r>
      <w:r w:rsidRPr="00853429">
        <w:rPr>
          <w:b/>
        </w:rPr>
        <w:t>:</w:t>
      </w:r>
    </w:p>
    <w:tbl>
      <w:tblPr>
        <w:tblW w:w="101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6379"/>
        <w:gridCol w:w="1417"/>
      </w:tblGrid>
      <w:tr w:rsidR="00853429" w:rsidRPr="00FA79D3" w:rsidTr="00853429">
        <w:trPr>
          <w:trHeight w:val="718"/>
        </w:trPr>
        <w:tc>
          <w:tcPr>
            <w:tcW w:w="2354" w:type="dxa"/>
            <w:vAlign w:val="center"/>
          </w:tcPr>
          <w:p w:rsidR="00FA79D3" w:rsidRDefault="00A4135C" w:rsidP="00FA79D3">
            <w:pPr>
              <w:pStyle w:val="P273"/>
              <w:spacing w:before="0" w:after="0"/>
              <w:rPr>
                <w:rFonts w:cs="Times New Roman"/>
                <w:b/>
                <w:szCs w:val="24"/>
              </w:rPr>
            </w:pPr>
            <w:r w:rsidRPr="00FA79D3">
              <w:rPr>
                <w:rFonts w:cs="Times New Roman"/>
                <w:b/>
                <w:szCs w:val="24"/>
              </w:rPr>
              <w:t>Наименование изделия/</w:t>
            </w:r>
          </w:p>
          <w:p w:rsidR="00AC00A0" w:rsidRPr="00FA79D3" w:rsidRDefault="00A4135C" w:rsidP="00FA79D3">
            <w:pPr>
              <w:pStyle w:val="P273"/>
              <w:spacing w:before="0" w:after="0"/>
              <w:rPr>
                <w:rFonts w:cs="Times New Roman"/>
                <w:b/>
                <w:szCs w:val="24"/>
              </w:rPr>
            </w:pPr>
            <w:r w:rsidRPr="00FA79D3">
              <w:rPr>
                <w:rFonts w:cs="Times New Roman"/>
                <w:b/>
                <w:szCs w:val="24"/>
              </w:rPr>
              <w:t xml:space="preserve"> Код вида ТСР</w:t>
            </w:r>
          </w:p>
        </w:tc>
        <w:tc>
          <w:tcPr>
            <w:tcW w:w="6379" w:type="dxa"/>
            <w:vAlign w:val="center"/>
          </w:tcPr>
          <w:p w:rsidR="00AC00A0" w:rsidRPr="00FA79D3" w:rsidRDefault="00AC00A0" w:rsidP="00FA79D3">
            <w:pPr>
              <w:snapToGrid w:val="0"/>
              <w:jc w:val="center"/>
              <w:rPr>
                <w:b/>
              </w:rPr>
            </w:pPr>
            <w:r w:rsidRPr="00FA79D3">
              <w:rPr>
                <w:b/>
              </w:rPr>
              <w:t>Описание изделия</w:t>
            </w:r>
          </w:p>
        </w:tc>
        <w:tc>
          <w:tcPr>
            <w:tcW w:w="1417" w:type="dxa"/>
            <w:vAlign w:val="center"/>
          </w:tcPr>
          <w:p w:rsidR="00AC00A0" w:rsidRPr="00FA79D3" w:rsidRDefault="00AC00A0" w:rsidP="00FA79D3">
            <w:pPr>
              <w:pStyle w:val="P273"/>
              <w:spacing w:before="0" w:after="0"/>
              <w:rPr>
                <w:rFonts w:eastAsia="Lucida Sans Unicode" w:cs="Times New Roman"/>
                <w:b/>
                <w:szCs w:val="24"/>
              </w:rPr>
            </w:pPr>
            <w:r w:rsidRPr="00FA79D3">
              <w:rPr>
                <w:rFonts w:eastAsia="Lucida Sans Unicode" w:cs="Times New Roman"/>
                <w:b/>
                <w:szCs w:val="24"/>
              </w:rPr>
              <w:t xml:space="preserve">Объем работ, </w:t>
            </w:r>
            <w:r w:rsidR="002B4C40" w:rsidRPr="00FA79D3">
              <w:rPr>
                <w:rFonts w:eastAsia="Lucida Sans Unicode" w:cs="Times New Roman"/>
                <w:b/>
                <w:szCs w:val="24"/>
              </w:rPr>
              <w:t>изделий</w:t>
            </w:r>
          </w:p>
        </w:tc>
      </w:tr>
      <w:tr w:rsidR="00556F59" w:rsidRPr="00853429" w:rsidTr="00FB7589"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56F59" w:rsidRDefault="00556F59" w:rsidP="00556F59">
            <w:pPr>
              <w:jc w:val="center"/>
            </w:pPr>
            <w:r>
              <w:t>П</w:t>
            </w:r>
            <w:r w:rsidRPr="00A61B77">
              <w:t>ротез бедра модульн</w:t>
            </w:r>
            <w:r w:rsidR="00103BD9">
              <w:t>ый</w:t>
            </w:r>
            <w:r w:rsidRPr="00A61B77">
              <w:t xml:space="preserve"> с микропроцессорным управлением</w:t>
            </w:r>
          </w:p>
          <w:p w:rsidR="00103BD9" w:rsidRDefault="00103BD9" w:rsidP="00556F59">
            <w:pPr>
              <w:jc w:val="center"/>
            </w:pPr>
          </w:p>
          <w:p w:rsidR="00103BD9" w:rsidRPr="00A61B77" w:rsidRDefault="00103BD9" w:rsidP="00556F59">
            <w:pPr>
              <w:jc w:val="center"/>
              <w:rPr>
                <w:bCs/>
                <w:color w:val="000000"/>
              </w:rPr>
            </w:pPr>
            <w:r>
              <w:t>08-07-12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56F59" w:rsidRPr="00A61B77" w:rsidRDefault="00556F59" w:rsidP="00E16AD8">
            <w:pPr>
              <w:jc w:val="both"/>
              <w:rPr>
                <w:bCs/>
              </w:rPr>
            </w:pPr>
            <w:r w:rsidRPr="00212627">
              <w:rPr>
                <w:b/>
                <w:color w:val="333333"/>
                <w:shd w:val="clear" w:color="auto" w:fill="FBFBFB"/>
              </w:rPr>
              <w:t>Протез бедра модульный с микропроцессорным управлением</w:t>
            </w:r>
            <w:r w:rsidR="00103BD9">
              <w:rPr>
                <w:color w:val="333333"/>
                <w:shd w:val="clear" w:color="auto" w:fill="FBFBFB"/>
              </w:rPr>
              <w:t xml:space="preserve">: должен </w:t>
            </w:r>
            <w:r w:rsidRPr="00212627">
              <w:rPr>
                <w:color w:val="333333"/>
              </w:rPr>
              <w:br/>
            </w:r>
            <w:r w:rsidR="00103BD9">
              <w:rPr>
                <w:color w:val="333333"/>
                <w:shd w:val="clear" w:color="auto" w:fill="FBFBFB"/>
              </w:rPr>
              <w:t>и</w:t>
            </w:r>
            <w:r w:rsidRPr="00212627">
              <w:rPr>
                <w:color w:val="333333"/>
                <w:shd w:val="clear" w:color="auto" w:fill="FBFBFB"/>
              </w:rPr>
              <w:t>зготавлива</w:t>
            </w:r>
            <w:r w:rsidR="00103BD9">
              <w:rPr>
                <w:color w:val="333333"/>
                <w:shd w:val="clear" w:color="auto" w:fill="FBFBFB"/>
              </w:rPr>
              <w:t>ться</w:t>
            </w:r>
            <w:r w:rsidRPr="00212627">
              <w:rPr>
                <w:color w:val="333333"/>
                <w:shd w:val="clear" w:color="auto" w:fill="FBFBFB"/>
              </w:rPr>
              <w:t xml:space="preserve"> по индивидуальному техническому процессу. Примерочная приемная гильза</w:t>
            </w:r>
            <w:r w:rsidR="00103BD9">
              <w:rPr>
                <w:color w:val="333333"/>
                <w:shd w:val="clear" w:color="auto" w:fill="FBFBFB"/>
              </w:rPr>
              <w:t xml:space="preserve"> должна быть</w:t>
            </w:r>
            <w:r w:rsidRPr="00212627">
              <w:rPr>
                <w:color w:val="333333"/>
                <w:shd w:val="clear" w:color="auto" w:fill="FBFBFB"/>
              </w:rPr>
              <w:t xml:space="preserve"> изготовлена методом 3D сканирования и моделирования из прозрачного сополимера полиэтилена. Постоянная гильза </w:t>
            </w:r>
            <w:r w:rsidR="00103BD9">
              <w:rPr>
                <w:color w:val="333333"/>
                <w:shd w:val="clear" w:color="auto" w:fill="FBFBFB"/>
              </w:rPr>
              <w:t xml:space="preserve">должна быть </w:t>
            </w:r>
            <w:r w:rsidRPr="00212627">
              <w:rPr>
                <w:color w:val="333333"/>
                <w:shd w:val="clear" w:color="auto" w:fill="FBFBFB"/>
              </w:rPr>
              <w:t>изготовлена по слепку из литьевых смол холодного отверждения. Силиконовый лайнер</w:t>
            </w:r>
            <w:r w:rsidR="00AA22B9">
              <w:rPr>
                <w:color w:val="333333"/>
                <w:shd w:val="clear" w:color="auto" w:fill="FBFBFB"/>
              </w:rPr>
              <w:t xml:space="preserve"> должен быть</w:t>
            </w:r>
            <w:r w:rsidRPr="00212627">
              <w:rPr>
                <w:color w:val="333333"/>
                <w:shd w:val="clear" w:color="auto" w:fill="FBFBFB"/>
              </w:rPr>
              <w:t xml:space="preserve"> с двухточечной ременной системой крепления. Одноосный гидравлический коленный модуль </w:t>
            </w:r>
            <w:r w:rsidR="00AA22B9">
              <w:rPr>
                <w:color w:val="333333"/>
                <w:shd w:val="clear" w:color="auto" w:fill="FBFBFB"/>
              </w:rPr>
              <w:t xml:space="preserve">должен быть </w:t>
            </w:r>
            <w:r w:rsidRPr="00212627">
              <w:rPr>
                <w:color w:val="333333"/>
                <w:shd w:val="clear" w:color="auto" w:fill="FBFBFB"/>
              </w:rPr>
              <w:t xml:space="preserve">с полностью электронным контролем фазами опоры и переноса в реальном времени, с автоматической подстройкой под условия и скорость ходьбы. </w:t>
            </w:r>
            <w:r w:rsidR="00AA22B9">
              <w:rPr>
                <w:color w:val="333333"/>
                <w:shd w:val="clear" w:color="auto" w:fill="FBFBFB"/>
              </w:rPr>
              <w:t>Наличие у</w:t>
            </w:r>
            <w:r w:rsidRPr="00212627">
              <w:rPr>
                <w:color w:val="333333"/>
                <w:shd w:val="clear" w:color="auto" w:fill="FBFBFB"/>
              </w:rPr>
              <w:t>лучшенн</w:t>
            </w:r>
            <w:r w:rsidR="00AA22B9">
              <w:rPr>
                <w:color w:val="333333"/>
                <w:shd w:val="clear" w:color="auto" w:fill="FBFBFB"/>
              </w:rPr>
              <w:t>ой</w:t>
            </w:r>
            <w:r w:rsidRPr="00212627">
              <w:rPr>
                <w:color w:val="333333"/>
                <w:shd w:val="clear" w:color="auto" w:fill="FBFBFB"/>
              </w:rPr>
              <w:t xml:space="preserve"> защит</w:t>
            </w:r>
            <w:r w:rsidR="00AA22B9">
              <w:rPr>
                <w:color w:val="333333"/>
                <w:shd w:val="clear" w:color="auto" w:fill="FBFBFB"/>
              </w:rPr>
              <w:t>ы</w:t>
            </w:r>
            <w:r w:rsidRPr="00212627">
              <w:rPr>
                <w:color w:val="333333"/>
                <w:shd w:val="clear" w:color="auto" w:fill="FBFBFB"/>
              </w:rPr>
              <w:t xml:space="preserve"> от спотыкания, интуитивная функция опоры, ручная функция блокировки, безопасное движение спиной вперёд, функция приседания. </w:t>
            </w:r>
            <w:r w:rsidR="00AA22B9">
              <w:rPr>
                <w:color w:val="333333"/>
                <w:shd w:val="clear" w:color="auto" w:fill="FBFBFB"/>
              </w:rPr>
              <w:t>Протез должен и</w:t>
            </w:r>
            <w:r w:rsidRPr="00212627">
              <w:rPr>
                <w:color w:val="333333"/>
                <w:shd w:val="clear" w:color="auto" w:fill="FBFBFB"/>
              </w:rPr>
              <w:t>ме</w:t>
            </w:r>
            <w:r w:rsidR="00AA22B9">
              <w:rPr>
                <w:color w:val="333333"/>
                <w:shd w:val="clear" w:color="auto" w:fill="FBFBFB"/>
              </w:rPr>
              <w:t>ть</w:t>
            </w:r>
            <w:r w:rsidRPr="00212627">
              <w:rPr>
                <w:color w:val="333333"/>
                <w:shd w:val="clear" w:color="auto" w:fill="FBFBFB"/>
              </w:rPr>
              <w:t xml:space="preserve"> два дополнительных пользовательских режима, управление через специальное приложение, устойчив к брызгам, не треб</w:t>
            </w:r>
            <w:r w:rsidR="00AA22B9">
              <w:rPr>
                <w:color w:val="333333"/>
                <w:shd w:val="clear" w:color="auto" w:fill="FBFBFB"/>
              </w:rPr>
              <w:t>овать</w:t>
            </w:r>
            <w:r w:rsidRPr="00212627">
              <w:rPr>
                <w:color w:val="333333"/>
                <w:shd w:val="clear" w:color="auto" w:fill="FBFBFB"/>
              </w:rPr>
              <w:t xml:space="preserve"> специального несущего модуля. </w:t>
            </w:r>
            <w:r w:rsidR="006C637E">
              <w:rPr>
                <w:color w:val="333333"/>
                <w:shd w:val="clear" w:color="auto" w:fill="FBFBFB"/>
              </w:rPr>
              <w:t>Наличие з</w:t>
            </w:r>
            <w:r w:rsidRPr="00212627">
              <w:rPr>
                <w:color w:val="333333"/>
                <w:shd w:val="clear" w:color="auto" w:fill="FBFBFB"/>
              </w:rPr>
              <w:t>ащитн</w:t>
            </w:r>
            <w:r w:rsidR="006C637E">
              <w:rPr>
                <w:color w:val="333333"/>
                <w:shd w:val="clear" w:color="auto" w:fill="FBFBFB"/>
              </w:rPr>
              <w:t>ого</w:t>
            </w:r>
            <w:r w:rsidRPr="00212627">
              <w:rPr>
                <w:color w:val="333333"/>
                <w:shd w:val="clear" w:color="auto" w:fill="FBFBFB"/>
              </w:rPr>
              <w:t xml:space="preserve"> протектор</w:t>
            </w:r>
            <w:r w:rsidR="006C637E">
              <w:rPr>
                <w:color w:val="333333"/>
                <w:shd w:val="clear" w:color="auto" w:fill="FBFBFB"/>
              </w:rPr>
              <w:t>а</w:t>
            </w:r>
            <w:r w:rsidRPr="00212627">
              <w:rPr>
                <w:color w:val="333333"/>
                <w:shd w:val="clear" w:color="auto" w:fill="FBFBFB"/>
              </w:rPr>
              <w:t>, оберегающ</w:t>
            </w:r>
            <w:r w:rsidR="006C637E">
              <w:rPr>
                <w:color w:val="333333"/>
                <w:shd w:val="clear" w:color="auto" w:fill="FBFBFB"/>
              </w:rPr>
              <w:t>его</w:t>
            </w:r>
            <w:r w:rsidRPr="00212627">
              <w:rPr>
                <w:color w:val="333333"/>
                <w:shd w:val="clear" w:color="auto" w:fill="FBFBFB"/>
              </w:rPr>
              <w:t xml:space="preserve"> протез от ударов, влияния окружающей среды и износа. Косметическая накладк</w:t>
            </w:r>
            <w:r w:rsidR="006C637E">
              <w:rPr>
                <w:color w:val="333333"/>
                <w:shd w:val="clear" w:color="auto" w:fill="FBFBFB"/>
              </w:rPr>
              <w:t>а - наличие</w:t>
            </w:r>
            <w:r w:rsidRPr="00212627">
              <w:rPr>
                <w:color w:val="333333"/>
                <w:shd w:val="clear" w:color="auto" w:fill="FBFBFB"/>
              </w:rPr>
              <w:t xml:space="preserve">. </w:t>
            </w:r>
            <w:r w:rsidR="006C637E">
              <w:rPr>
                <w:color w:val="333333"/>
                <w:shd w:val="clear" w:color="auto" w:fill="FBFBFB"/>
              </w:rPr>
              <w:t>Стопа должна быть д</w:t>
            </w:r>
            <w:r w:rsidRPr="00212627">
              <w:rPr>
                <w:color w:val="333333"/>
                <w:shd w:val="clear" w:color="auto" w:fill="FBFBFB"/>
              </w:rPr>
              <w:t xml:space="preserve">инамичная карбоновая с расщепленной носочной частью и отведенным большим пальцем для </w:t>
            </w:r>
            <w:r w:rsidR="006C637E">
              <w:rPr>
                <w:color w:val="333333"/>
                <w:shd w:val="clear" w:color="auto" w:fill="FBFBFB"/>
              </w:rPr>
              <w:t>Получателей</w:t>
            </w:r>
            <w:r w:rsidRPr="00212627">
              <w:rPr>
                <w:color w:val="333333"/>
                <w:shd w:val="clear" w:color="auto" w:fill="FBFBFB"/>
              </w:rPr>
              <w:t xml:space="preserve"> с высоким уровнем двигательной активности. Пружинные карбоновые и полимерные элементы </w:t>
            </w:r>
            <w:r w:rsidR="006C637E">
              <w:rPr>
                <w:color w:val="333333"/>
                <w:shd w:val="clear" w:color="auto" w:fill="FBFBFB"/>
              </w:rPr>
              <w:t xml:space="preserve">должны </w:t>
            </w:r>
            <w:r w:rsidRPr="00212627">
              <w:rPr>
                <w:color w:val="333333"/>
                <w:shd w:val="clear" w:color="auto" w:fill="FBFBFB"/>
              </w:rPr>
              <w:t>обеспечива</w:t>
            </w:r>
            <w:r w:rsidR="006C637E">
              <w:rPr>
                <w:color w:val="333333"/>
                <w:shd w:val="clear" w:color="auto" w:fill="FBFBFB"/>
              </w:rPr>
              <w:t>ть</w:t>
            </w:r>
            <w:r w:rsidRPr="00212627">
              <w:rPr>
                <w:color w:val="333333"/>
                <w:shd w:val="clear" w:color="auto" w:fill="FBFBFB"/>
              </w:rPr>
              <w:t xml:space="preserve"> ощутимое подошвенное сгибание при </w:t>
            </w:r>
            <w:proofErr w:type="spellStart"/>
            <w:r w:rsidRPr="00212627">
              <w:rPr>
                <w:color w:val="333333"/>
                <w:shd w:val="clear" w:color="auto" w:fill="FBFBFB"/>
              </w:rPr>
              <w:t>наступании</w:t>
            </w:r>
            <w:proofErr w:type="spellEnd"/>
            <w:r w:rsidRPr="00212627">
              <w:rPr>
                <w:color w:val="333333"/>
                <w:shd w:val="clear" w:color="auto" w:fill="FBFBFB"/>
              </w:rPr>
              <w:t xml:space="preserve"> на пятку, а также естественный перекат и высокую </w:t>
            </w:r>
            <w:proofErr w:type="spellStart"/>
            <w:r w:rsidRPr="00212627">
              <w:rPr>
                <w:color w:val="333333"/>
                <w:shd w:val="clear" w:color="auto" w:fill="FBFBFB"/>
              </w:rPr>
              <w:t>энергоотдачу</w:t>
            </w:r>
            <w:proofErr w:type="spellEnd"/>
            <w:r w:rsidRPr="00212627">
              <w:rPr>
                <w:color w:val="333333"/>
                <w:shd w:val="clear" w:color="auto" w:fill="FBFBFB"/>
              </w:rPr>
              <w:t xml:space="preserve">. Регулировочно-соединительные устройства </w:t>
            </w:r>
            <w:r w:rsidR="00E16AD8">
              <w:rPr>
                <w:color w:val="333333"/>
                <w:shd w:val="clear" w:color="auto" w:fill="FBFBFB"/>
              </w:rPr>
              <w:t xml:space="preserve">должны </w:t>
            </w:r>
            <w:r w:rsidRPr="00212627">
              <w:rPr>
                <w:color w:val="333333"/>
                <w:shd w:val="clear" w:color="auto" w:fill="FBFBFB"/>
              </w:rPr>
              <w:t>соответств</w:t>
            </w:r>
            <w:r w:rsidR="00E16AD8">
              <w:rPr>
                <w:color w:val="333333"/>
                <w:shd w:val="clear" w:color="auto" w:fill="FBFBFB"/>
              </w:rPr>
              <w:t>овать</w:t>
            </w:r>
            <w:r w:rsidRPr="00212627">
              <w:rPr>
                <w:color w:val="333333"/>
                <w:shd w:val="clear" w:color="auto" w:fill="FBFBFB"/>
              </w:rPr>
              <w:t xml:space="preserve"> весу </w:t>
            </w:r>
            <w:r w:rsidR="00E16AD8">
              <w:rPr>
                <w:color w:val="333333"/>
                <w:shd w:val="clear" w:color="auto" w:fill="FBFBFB"/>
              </w:rPr>
              <w:t>получателя</w:t>
            </w:r>
            <w:r w:rsidRPr="00212627">
              <w:rPr>
                <w:color w:val="333333"/>
                <w:shd w:val="clear" w:color="auto" w:fill="FBFBFB"/>
              </w:rPr>
              <w:t>. Набор по уходу за культей</w:t>
            </w:r>
            <w:r w:rsidR="00E16AD8">
              <w:rPr>
                <w:color w:val="333333"/>
                <w:shd w:val="clear" w:color="auto" w:fill="FBFBFB"/>
              </w:rPr>
              <w:t xml:space="preserve"> - наличие</w:t>
            </w:r>
            <w:r w:rsidRPr="00212627">
              <w:rPr>
                <w:color w:val="333333"/>
                <w:shd w:val="clear" w:color="auto" w:fill="FBFBFB"/>
              </w:rPr>
              <w:t>.</w:t>
            </w:r>
          </w:p>
        </w:tc>
        <w:tc>
          <w:tcPr>
            <w:tcW w:w="1417" w:type="dxa"/>
          </w:tcPr>
          <w:p w:rsidR="00556F59" w:rsidRPr="00853429" w:rsidRDefault="00556F59" w:rsidP="00556F5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53429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53429" w:rsidRPr="00853429" w:rsidTr="00853429">
        <w:tc>
          <w:tcPr>
            <w:tcW w:w="8733" w:type="dxa"/>
            <w:gridSpan w:val="2"/>
            <w:vAlign w:val="center"/>
          </w:tcPr>
          <w:p w:rsidR="00BE1C19" w:rsidRPr="00853429" w:rsidRDefault="00BE1C19" w:rsidP="00BE1C19">
            <w:pPr>
              <w:jc w:val="center"/>
              <w:rPr>
                <w:b/>
              </w:rPr>
            </w:pPr>
            <w:r w:rsidRPr="00853429">
              <w:rPr>
                <w:b/>
              </w:rPr>
              <w:lastRenderedPageBreak/>
              <w:t>ИТОГО:</w:t>
            </w:r>
          </w:p>
        </w:tc>
        <w:tc>
          <w:tcPr>
            <w:tcW w:w="1417" w:type="dxa"/>
            <w:vAlign w:val="center"/>
          </w:tcPr>
          <w:p w:rsidR="00BE1C19" w:rsidRPr="00853429" w:rsidRDefault="00556F59" w:rsidP="000553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1906EC" w:rsidRPr="00483574" w:rsidRDefault="001906EC" w:rsidP="00E46385">
      <w:pPr>
        <w:ind w:firstLine="709"/>
        <w:contextualSpacing/>
        <w:rPr>
          <w:b/>
          <w:color w:val="FF0000"/>
        </w:rPr>
      </w:pPr>
    </w:p>
    <w:p w:rsidR="009C525C" w:rsidRPr="0042376D" w:rsidRDefault="00E46385" w:rsidP="0042376D">
      <w:pPr>
        <w:ind w:firstLine="709"/>
        <w:contextualSpacing/>
        <w:jc w:val="both"/>
        <w:rPr>
          <w:b/>
        </w:rPr>
      </w:pPr>
      <w:r w:rsidRPr="0042376D">
        <w:rPr>
          <w:b/>
        </w:rPr>
        <w:t xml:space="preserve">3. </w:t>
      </w:r>
      <w:r w:rsidR="009C525C" w:rsidRPr="0042376D">
        <w:rPr>
          <w:b/>
        </w:rPr>
        <w:t>Требования к качеству и безопасности работ</w:t>
      </w:r>
      <w:r w:rsidRPr="0042376D">
        <w:rPr>
          <w:b/>
        </w:rPr>
        <w:t>:</w:t>
      </w:r>
    </w:p>
    <w:p w:rsidR="009C525C" w:rsidRPr="0042376D" w:rsidRDefault="009C525C" w:rsidP="0042376D">
      <w:pPr>
        <w:ind w:firstLine="709"/>
        <w:contextualSpacing/>
        <w:jc w:val="both"/>
      </w:pPr>
      <w:r w:rsidRPr="0042376D">
        <w:t>Выполненные работы должны обеспечивать использование изделия Получателем по его прямому назначению, а также безопасную эксплуатацию. Получатель не должен испытывать дискомфорта при пользовании изделия.</w:t>
      </w:r>
    </w:p>
    <w:p w:rsidR="00A779ED" w:rsidRPr="0042376D" w:rsidRDefault="00A779ED" w:rsidP="0042376D">
      <w:pPr>
        <w:ind w:firstLine="709"/>
        <w:jc w:val="both"/>
      </w:pPr>
      <w:r w:rsidRPr="0042376D">
        <w:t xml:space="preserve">Протез должен изготавливаться с учетом анатомических дефектов </w:t>
      </w:r>
      <w:r w:rsidR="00153DAA">
        <w:t>верхней</w:t>
      </w:r>
      <w:bookmarkStart w:id="0" w:name="_GoBack"/>
      <w:bookmarkEnd w:id="0"/>
      <w:r w:rsidRPr="0042376D">
        <w:t xml:space="preserve"> конечности, необходимо максимально учитывать физическое состояние, индивидуальные особенности пациента, его психологический статус, профессиональную и частную жизнь, индивидуальный уровень двигательной активности и иные значимые для целей реабилитации медико-социальные аспекты.</w:t>
      </w:r>
    </w:p>
    <w:p w:rsidR="00A779ED" w:rsidRPr="0042376D" w:rsidRDefault="00A779ED" w:rsidP="0042376D">
      <w:pPr>
        <w:jc w:val="both"/>
      </w:pPr>
      <w:r w:rsidRPr="0042376D">
        <w:t xml:space="preserve">            Гильзы и крепления протеза не должны вызывать потертостей, сдавливания, ущемления и наплывов мягких тканей, нарушений кровообращения и болевых ощущений при пользовании изделия. Материалы гильз, контактирующих с телом человека, должны быть разрешены к применению Министерством здравоохранения Российской Федерации. Узлы протеза должны быть стойкими к воздействию физиологических растворов. </w:t>
      </w:r>
    </w:p>
    <w:p w:rsidR="009C525C" w:rsidRPr="0042376D" w:rsidRDefault="00A779ED" w:rsidP="0042376D">
      <w:pPr>
        <w:jc w:val="both"/>
      </w:pPr>
      <w:r w:rsidRPr="0042376D">
        <w:tab/>
        <w:t xml:space="preserve">Работы по изготовлению </w:t>
      </w:r>
      <w:r w:rsidR="00E62954" w:rsidRPr="0042376D">
        <w:t>протез</w:t>
      </w:r>
      <w:r w:rsidR="009C525C" w:rsidRPr="0042376D">
        <w:t>а</w:t>
      </w:r>
      <w:r w:rsidR="00E62954" w:rsidRPr="0042376D">
        <w:t xml:space="preserve"> </w:t>
      </w:r>
      <w:r w:rsidRPr="0042376D">
        <w:t>для пострадавшего предусматривают индивидуальное изготовление и обучение пользованию.</w:t>
      </w:r>
    </w:p>
    <w:p w:rsidR="009C525C" w:rsidRPr="0042376D" w:rsidRDefault="009C525C" w:rsidP="009C525C">
      <w:pPr>
        <w:ind w:firstLine="708"/>
        <w:jc w:val="both"/>
      </w:pPr>
      <w:r w:rsidRPr="0042376D">
        <w:t>Работы по проведению комплекса медицинских, технических и социальных мероприятий должны быть направлены на полное или частичное восстановление опорно-двигательных функций застрахованного лица, пострадавшего вследствие несчастного случая на производстве.</w:t>
      </w:r>
    </w:p>
    <w:p w:rsidR="009C525C" w:rsidRPr="00FA79D3" w:rsidRDefault="009C525C" w:rsidP="009C525C">
      <w:pPr>
        <w:ind w:firstLine="708"/>
        <w:jc w:val="both"/>
      </w:pPr>
      <w:r w:rsidRPr="00FA79D3">
        <w:t>Протез должен быть классифицирован в соответствии с требованиями Национальных стандартов Российской Федерации:</w:t>
      </w:r>
      <w:r w:rsidRPr="00FA79D3">
        <w:rPr>
          <w:b/>
        </w:rPr>
        <w:t xml:space="preserve"> </w:t>
      </w:r>
      <w:r w:rsidRPr="00FA79D3">
        <w:t xml:space="preserve">ГОСТ Р 51632-2021 «Технические средства реабилитации людей с ограничениями жизнедеятельности. Общие технические требования и методы испытаний», ГОСТ Р 52770-2016 «Изделия медицинские. Требования безопасности. Методы санитарно-химических и токсикологических испытаний», ГОСТ Р ИСО 22523-2007 «Протезы конечностей и </w:t>
      </w:r>
      <w:proofErr w:type="spellStart"/>
      <w:r w:rsidRPr="00FA79D3">
        <w:t>ортезы</w:t>
      </w:r>
      <w:proofErr w:type="spellEnd"/>
      <w:r w:rsidRPr="00FA79D3">
        <w:t xml:space="preserve"> наружные. Требования и методы испытаний»; Межгосударственных стандартов: </w:t>
      </w:r>
      <w:r w:rsidR="00BD336D" w:rsidRPr="00FA79D3">
        <w:t>ГОСТ ISO 10993-1-2021 «Изделия медицинские. Оценка биологического действия медицинских изделий. Часть 1. Оценка и исследования в процессе менеджмента риска»</w:t>
      </w:r>
      <w:r w:rsidRPr="00FA79D3">
        <w:t xml:space="preserve">, ГОСТ ISO 10993-5-2011 «Изделия медицинские. Оценка биологического действия медицинских изделий. Часть 5. Исследования на </w:t>
      </w:r>
      <w:proofErr w:type="spellStart"/>
      <w:r w:rsidRPr="00FA79D3">
        <w:t>цитотоксичность</w:t>
      </w:r>
      <w:proofErr w:type="spellEnd"/>
      <w:r w:rsidRPr="00FA79D3">
        <w:t xml:space="preserve">: методы </w:t>
      </w:r>
      <w:r w:rsidRPr="00FA79D3">
        <w:rPr>
          <w:lang w:val="en-US"/>
        </w:rPr>
        <w:t>in</w:t>
      </w:r>
      <w:r w:rsidRPr="00FA79D3">
        <w:t xml:space="preserve"> </w:t>
      </w:r>
      <w:r w:rsidRPr="00FA79D3">
        <w:rPr>
          <w:lang w:val="en-US"/>
        </w:rPr>
        <w:t>vitro</w:t>
      </w:r>
      <w:r w:rsidRPr="00FA79D3">
        <w:t>», ГОСТ ISO 10993-10-2011 «Изделия медицинские. Оценка биологического действия медицинских изделий. Часть 10. Исследования раздражающего и сенсибилизирующего действия».</w:t>
      </w:r>
    </w:p>
    <w:p w:rsidR="00A779ED" w:rsidRPr="00FA79D3" w:rsidRDefault="00A779ED" w:rsidP="00A779ED">
      <w:pPr>
        <w:ind w:firstLine="720"/>
        <w:jc w:val="both"/>
      </w:pPr>
      <w:r w:rsidRPr="00FA79D3">
        <w:t>Требования к техническим характеристикам определяются с учетом уровня ампутации и модулирования, применяемого в протезировании:</w:t>
      </w:r>
    </w:p>
    <w:p w:rsidR="00A779ED" w:rsidRPr="00FA79D3" w:rsidRDefault="00A779ED" w:rsidP="00A779ED">
      <w:pPr>
        <w:ind w:firstLine="720"/>
        <w:jc w:val="both"/>
      </w:pPr>
      <w:r w:rsidRPr="00FA79D3">
        <w:t>– протез должен восполнять форму и внешний вид отсутствующей её части;</w:t>
      </w:r>
    </w:p>
    <w:p w:rsidR="00A779ED" w:rsidRPr="00FA79D3" w:rsidRDefault="00A779ED" w:rsidP="00A779ED">
      <w:pPr>
        <w:ind w:firstLine="720"/>
        <w:jc w:val="both"/>
      </w:pPr>
      <w:r w:rsidRPr="00FA79D3">
        <w:t>– гильза протеза должна быть изготовлена по индивидуальным параметрам пациента и предназначена для размещения в ней культи или пораженной конечности, обеспечивая взаимодействие человека с протезом конечности;</w:t>
      </w:r>
    </w:p>
    <w:p w:rsidR="00E46385" w:rsidRPr="00FA79D3" w:rsidRDefault="00A779ED" w:rsidP="004447A4">
      <w:pPr>
        <w:ind w:firstLine="720"/>
        <w:jc w:val="both"/>
      </w:pPr>
      <w:r w:rsidRPr="00FA79D3">
        <w:t>– функциональный узел протеза должен выполнять заданную функцию и иметь конструктивно-технологическую завершенность.</w:t>
      </w:r>
    </w:p>
    <w:p w:rsidR="009C5DB0" w:rsidRPr="00FA79D3" w:rsidRDefault="009C5DB0" w:rsidP="009C5DB0">
      <w:pPr>
        <w:ind w:firstLine="709"/>
        <w:contextualSpacing/>
        <w:jc w:val="both"/>
        <w:rPr>
          <w:rStyle w:val="T2"/>
        </w:rPr>
      </w:pPr>
      <w:r w:rsidRPr="00FA79D3">
        <w:rPr>
          <w:rFonts w:eastAsia="Lucida Sans Unicode"/>
          <w:kern w:val="2"/>
        </w:rPr>
        <w:t xml:space="preserve">Срок пользования Изделием устанавливается в соответствии с Приказом Министерства труда и социальной защиты Российской Федерации </w:t>
      </w:r>
      <w:r w:rsidRPr="00FA79D3">
        <w:rPr>
          <w:bCs/>
        </w:rPr>
        <w:t xml:space="preserve">от 05.03.2021 </w:t>
      </w:r>
      <w:r w:rsidRPr="00FA79D3">
        <w:t>№ 107н</w:t>
      </w:r>
      <w:r w:rsidRPr="00FA79D3">
        <w:rPr>
          <w:rFonts w:eastAsia="Lucida Sans Unicode"/>
          <w:kern w:val="1"/>
        </w:rPr>
        <w:t xml:space="preserve"> «Об утверждении сроков пользования техническими средствами реабилитации, протезами и протезно-ортопедическими изделиями»</w:t>
      </w:r>
      <w:r w:rsidRPr="00FA79D3">
        <w:rPr>
          <w:rFonts w:eastAsia="Lucida Sans Unicode"/>
          <w:kern w:val="2"/>
        </w:rPr>
        <w:t>.</w:t>
      </w:r>
    </w:p>
    <w:p w:rsidR="00831513" w:rsidRPr="00FA79D3" w:rsidRDefault="00E269D3" w:rsidP="00831513">
      <w:pPr>
        <w:autoSpaceDE w:val="0"/>
        <w:autoSpaceDN w:val="0"/>
        <w:adjustRightInd w:val="0"/>
        <w:ind w:firstLine="709"/>
        <w:jc w:val="both"/>
        <w:rPr>
          <w:b/>
        </w:rPr>
      </w:pPr>
      <w:r w:rsidRPr="00FA79D3">
        <w:rPr>
          <w:b/>
        </w:rPr>
        <w:t>4</w:t>
      </w:r>
      <w:r w:rsidR="00E46385" w:rsidRPr="00FA79D3">
        <w:rPr>
          <w:b/>
        </w:rPr>
        <w:t>. Требования к гарантии качества выполненных работ, а также требования к гарантийному сроку и (или) объему предоставления гарантий их качества, к гарантийному обслуживанию (гарантийные обязательства):</w:t>
      </w:r>
    </w:p>
    <w:p w:rsidR="004619E4" w:rsidRPr="00FA79D3" w:rsidRDefault="004619E4" w:rsidP="00831513">
      <w:pPr>
        <w:autoSpaceDE w:val="0"/>
        <w:autoSpaceDN w:val="0"/>
        <w:adjustRightInd w:val="0"/>
        <w:ind w:firstLine="709"/>
        <w:jc w:val="both"/>
      </w:pPr>
      <w:r w:rsidRPr="00FA79D3">
        <w:t>Гарантийный срок эксплуатации для протез</w:t>
      </w:r>
      <w:r w:rsidR="00831513" w:rsidRPr="00FA79D3">
        <w:t>а</w:t>
      </w:r>
      <w:r w:rsidRPr="00FA79D3">
        <w:t xml:space="preserve"> </w:t>
      </w:r>
      <w:r w:rsidR="00831513" w:rsidRPr="00FA79D3">
        <w:t>должен составлять</w:t>
      </w:r>
      <w:r w:rsidRPr="00FA79D3">
        <w:t xml:space="preserve"> не менее 12 месяцев</w:t>
      </w:r>
      <w:r w:rsidR="00831513" w:rsidRPr="00FA79D3">
        <w:rPr>
          <w:rFonts w:eastAsia="Calibri"/>
        </w:rPr>
        <w:t xml:space="preserve"> </w:t>
      </w:r>
      <w:r w:rsidR="00831513" w:rsidRPr="00FA79D3">
        <w:t>с момента подписания Получателем акта приема-передачи выполненных работ</w:t>
      </w:r>
      <w:r w:rsidRPr="00FA79D3">
        <w:t xml:space="preserve">. В течение указанного срока предприятие – изготовитель обязано производить замену или ремонт изделия бесплатно. </w:t>
      </w:r>
    </w:p>
    <w:p w:rsidR="00831513" w:rsidRPr="00FA79D3" w:rsidRDefault="00831513" w:rsidP="00831513">
      <w:pPr>
        <w:pStyle w:val="a3"/>
        <w:spacing w:before="0" w:beforeAutospacing="0" w:after="0"/>
        <w:ind w:firstLine="709"/>
        <w:jc w:val="both"/>
        <w:rPr>
          <w:rFonts w:eastAsia="Calibri"/>
        </w:rPr>
      </w:pPr>
      <w:r w:rsidRPr="00FA79D3">
        <w:rPr>
          <w:rFonts w:eastAsia="Calibri"/>
        </w:rPr>
        <w:lastRenderedPageBreak/>
        <w:t>Срок выполнения гарантийного ремонта</w:t>
      </w:r>
      <w:r w:rsidRPr="00FA79D3">
        <w:rPr>
          <w:rFonts w:eastAsia="Calibri"/>
          <w:lang w:val="ru-RU"/>
        </w:rPr>
        <w:t xml:space="preserve"> (замены)</w:t>
      </w:r>
      <w:r w:rsidRPr="00FA79D3">
        <w:rPr>
          <w:rFonts w:eastAsia="Calibri"/>
        </w:rPr>
        <w:t xml:space="preserve"> не </w:t>
      </w:r>
      <w:r w:rsidRPr="00FA79D3">
        <w:rPr>
          <w:rFonts w:eastAsia="Calibri"/>
          <w:lang w:val="ru-RU"/>
        </w:rPr>
        <w:t xml:space="preserve">должен </w:t>
      </w:r>
      <w:r w:rsidRPr="00FA79D3">
        <w:rPr>
          <w:rFonts w:eastAsia="Calibri"/>
        </w:rPr>
        <w:t>превыша</w:t>
      </w:r>
      <w:r w:rsidRPr="00FA79D3">
        <w:rPr>
          <w:rFonts w:eastAsia="Calibri"/>
          <w:lang w:val="ru-RU"/>
        </w:rPr>
        <w:t>ть 4</w:t>
      </w:r>
      <w:r w:rsidRPr="00FA79D3">
        <w:rPr>
          <w:rFonts w:eastAsia="Calibri"/>
        </w:rPr>
        <w:t>5 дней</w:t>
      </w:r>
      <w:r w:rsidRPr="00FA79D3">
        <w:rPr>
          <w:rFonts w:eastAsia="Calibri"/>
          <w:lang w:val="ru-RU"/>
        </w:rPr>
        <w:t xml:space="preserve"> </w:t>
      </w:r>
      <w:r w:rsidRPr="00FA79D3">
        <w:rPr>
          <w:rFonts w:eastAsia="Calibri"/>
        </w:rPr>
        <w:t>со дня обращения Получателя</w:t>
      </w:r>
      <w:r w:rsidRPr="00FA79D3">
        <w:rPr>
          <w:rFonts w:eastAsia="Calibri"/>
          <w:lang w:val="ru-RU"/>
        </w:rPr>
        <w:t xml:space="preserve"> к Исполнителю</w:t>
      </w:r>
      <w:r w:rsidRPr="00FA79D3">
        <w:rPr>
          <w:rFonts w:eastAsia="Calibri"/>
        </w:rPr>
        <w:t>.</w:t>
      </w:r>
    </w:p>
    <w:p w:rsidR="00E46385" w:rsidRPr="00FA79D3" w:rsidRDefault="00E46385" w:rsidP="00E46385">
      <w:pPr>
        <w:contextualSpacing/>
        <w:jc w:val="both"/>
      </w:pPr>
      <w:r w:rsidRPr="00FA79D3">
        <w:t xml:space="preserve">            </w:t>
      </w:r>
      <w:r w:rsidR="00831513" w:rsidRPr="00FA79D3">
        <w:t>В случае обнаружения Получателем в течении гарантийного срока Изделия при его должной эксплуатации несоответствия качеству (выявление недостатков и дефектов, связанных с разработкой, материалами или качеством изготовления, в том числе скрытых недостатков и дефектов) Исполнитель должен обеспечить гарантийный ремонт (если изделие подлежит ремонту) либо замену Изделия на надлежащего качества</w:t>
      </w:r>
      <w:r w:rsidRPr="00FA79D3">
        <w:t>.</w:t>
      </w:r>
    </w:p>
    <w:p w:rsidR="00E13D5D" w:rsidRPr="00FA79D3" w:rsidRDefault="00E13D5D" w:rsidP="00E13D5D">
      <w:pPr>
        <w:pStyle w:val="a3"/>
        <w:spacing w:before="0" w:beforeAutospacing="0" w:after="0"/>
        <w:ind w:firstLine="709"/>
        <w:jc w:val="both"/>
      </w:pPr>
      <w:r w:rsidRPr="00FA79D3">
        <w:t>Если Изделие выходит из строя в течение гарантийного срока по вине Получателя (несоблюдение эксплуатационных правил, указанных в инструкции по эксплуатации), то возможность его дальнейшего использования определяется Исполнителем.</w:t>
      </w:r>
    </w:p>
    <w:p w:rsidR="00E46385" w:rsidRPr="00FA79D3" w:rsidRDefault="00E46385" w:rsidP="00E46385">
      <w:pPr>
        <w:ind w:firstLine="709"/>
        <w:contextualSpacing/>
        <w:jc w:val="both"/>
        <w:rPr>
          <w:rFonts w:eastAsia="Lucida Sans Unicode"/>
          <w:kern w:val="2"/>
          <w:lang w:val="x-none"/>
        </w:rPr>
      </w:pPr>
    </w:p>
    <w:sectPr w:rsidR="00E46385" w:rsidRPr="00FA79D3" w:rsidSect="00E46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D0" w:rsidRDefault="00D070D0">
      <w:r>
        <w:separator/>
      </w:r>
    </w:p>
  </w:endnote>
  <w:endnote w:type="continuationSeparator" w:id="0">
    <w:p w:rsidR="00D070D0" w:rsidRDefault="00D0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72" w:rsidRDefault="00E46385" w:rsidP="009B59D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07C72" w:rsidRDefault="00D070D0" w:rsidP="009B59D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AB" w:rsidRDefault="00AB25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AB" w:rsidRDefault="00AB2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D0" w:rsidRDefault="00D070D0">
      <w:r>
        <w:separator/>
      </w:r>
    </w:p>
  </w:footnote>
  <w:footnote w:type="continuationSeparator" w:id="0">
    <w:p w:rsidR="00D070D0" w:rsidRDefault="00D0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72" w:rsidRDefault="00E46385" w:rsidP="009B59D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E07C72" w:rsidRDefault="00D070D0" w:rsidP="009B59D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72" w:rsidRDefault="00E46385" w:rsidP="009B59DF">
    <w:pPr>
      <w:pStyle w:val="a8"/>
      <w:tabs>
        <w:tab w:val="clear" w:pos="4677"/>
        <w:tab w:val="clear" w:pos="9355"/>
        <w:tab w:val="left" w:pos="366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AB" w:rsidRDefault="00AB25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6BE1"/>
    <w:multiLevelType w:val="hybridMultilevel"/>
    <w:tmpl w:val="FA1E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1C"/>
    <w:rsid w:val="0000460E"/>
    <w:rsid w:val="00016C61"/>
    <w:rsid w:val="00045907"/>
    <w:rsid w:val="0008711A"/>
    <w:rsid w:val="000D4D34"/>
    <w:rsid w:val="00103BD9"/>
    <w:rsid w:val="00153DAA"/>
    <w:rsid w:val="001906EC"/>
    <w:rsid w:val="001C4E26"/>
    <w:rsid w:val="00211CF3"/>
    <w:rsid w:val="00215D6B"/>
    <w:rsid w:val="0028394C"/>
    <w:rsid w:val="002B4C40"/>
    <w:rsid w:val="00347892"/>
    <w:rsid w:val="003B27FC"/>
    <w:rsid w:val="003D4098"/>
    <w:rsid w:val="0042376D"/>
    <w:rsid w:val="004447A4"/>
    <w:rsid w:val="004619E4"/>
    <w:rsid w:val="00483574"/>
    <w:rsid w:val="004A5BED"/>
    <w:rsid w:val="004D13D4"/>
    <w:rsid w:val="00556F59"/>
    <w:rsid w:val="005F21B1"/>
    <w:rsid w:val="00614439"/>
    <w:rsid w:val="00631553"/>
    <w:rsid w:val="006A3BA3"/>
    <w:rsid w:val="006B3517"/>
    <w:rsid w:val="006C637E"/>
    <w:rsid w:val="006F2628"/>
    <w:rsid w:val="007034D9"/>
    <w:rsid w:val="00770CC2"/>
    <w:rsid w:val="0079792D"/>
    <w:rsid w:val="007A74CA"/>
    <w:rsid w:val="007D1C22"/>
    <w:rsid w:val="00831513"/>
    <w:rsid w:val="008461B7"/>
    <w:rsid w:val="00853429"/>
    <w:rsid w:val="008A7105"/>
    <w:rsid w:val="009C525C"/>
    <w:rsid w:val="009C5DB0"/>
    <w:rsid w:val="00A065BA"/>
    <w:rsid w:val="00A4135C"/>
    <w:rsid w:val="00A66B1C"/>
    <w:rsid w:val="00A6789A"/>
    <w:rsid w:val="00A73B87"/>
    <w:rsid w:val="00A779ED"/>
    <w:rsid w:val="00AA22B9"/>
    <w:rsid w:val="00AB25AB"/>
    <w:rsid w:val="00AC00A0"/>
    <w:rsid w:val="00B12F51"/>
    <w:rsid w:val="00BD2140"/>
    <w:rsid w:val="00BD336D"/>
    <w:rsid w:val="00BE0746"/>
    <w:rsid w:val="00BE1C19"/>
    <w:rsid w:val="00C03EEA"/>
    <w:rsid w:val="00CF0ED1"/>
    <w:rsid w:val="00D070D0"/>
    <w:rsid w:val="00D21E08"/>
    <w:rsid w:val="00D26CEF"/>
    <w:rsid w:val="00D93D5F"/>
    <w:rsid w:val="00DE63E6"/>
    <w:rsid w:val="00E13D5D"/>
    <w:rsid w:val="00E16AD8"/>
    <w:rsid w:val="00E269D3"/>
    <w:rsid w:val="00E46385"/>
    <w:rsid w:val="00E62954"/>
    <w:rsid w:val="00E77872"/>
    <w:rsid w:val="00EB40ED"/>
    <w:rsid w:val="00F15F28"/>
    <w:rsid w:val="00F21B8C"/>
    <w:rsid w:val="00F752D4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3C1FF-5C55-4F7A-ADE4-931CD56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463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63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aliases w:val="Обычный (Web),Обычный (Web)1"/>
    <w:basedOn w:val="a"/>
    <w:link w:val="a4"/>
    <w:uiPriority w:val="99"/>
    <w:qFormat/>
    <w:rsid w:val="00E46385"/>
    <w:pPr>
      <w:spacing w:before="100" w:beforeAutospacing="1" w:after="119"/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E463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63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46385"/>
  </w:style>
  <w:style w:type="paragraph" w:styleId="a8">
    <w:name w:val="header"/>
    <w:basedOn w:val="a"/>
    <w:link w:val="a9"/>
    <w:uiPriority w:val="99"/>
    <w:rsid w:val="00E463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63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Обычный (Web)1 Знак"/>
    <w:link w:val="a3"/>
    <w:locked/>
    <w:rsid w:val="00E463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a">
    <w:name w:val="Содержимое таблицы"/>
    <w:basedOn w:val="a"/>
    <w:rsid w:val="00E46385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T2">
    <w:name w:val="T2"/>
    <w:rsid w:val="00E46385"/>
    <w:rPr>
      <w:rFonts w:ascii="Times New Roman" w:hAnsi="Times New Roman"/>
      <w:sz w:val="24"/>
    </w:rPr>
  </w:style>
  <w:style w:type="paragraph" w:customStyle="1" w:styleId="P273">
    <w:name w:val="P273"/>
    <w:basedOn w:val="a"/>
    <w:rsid w:val="00E46385"/>
    <w:pPr>
      <w:suppressAutoHyphens/>
      <w:snapToGrid w:val="0"/>
      <w:spacing w:before="99" w:after="119"/>
      <w:jc w:val="center"/>
    </w:pPr>
    <w:rPr>
      <w:rFonts w:cs="Tahoma"/>
      <w:kern w:val="1"/>
      <w:szCs w:val="20"/>
    </w:rPr>
  </w:style>
  <w:style w:type="character" w:customStyle="1" w:styleId="T8">
    <w:name w:val="T8"/>
    <w:rsid w:val="00E46385"/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AC00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1C4E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13D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3D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Лахтанова Юлия Евгеньевна</dc:creator>
  <cp:keywords/>
  <dc:description/>
  <cp:lastModifiedBy>Витютина Юлия Юрьевна</cp:lastModifiedBy>
  <cp:revision>51</cp:revision>
  <cp:lastPrinted>2022-09-05T04:44:00Z</cp:lastPrinted>
  <dcterms:created xsi:type="dcterms:W3CDTF">2022-02-14T05:57:00Z</dcterms:created>
  <dcterms:modified xsi:type="dcterms:W3CDTF">2022-11-30T08:59:00Z</dcterms:modified>
</cp:coreProperties>
</file>